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customXml/itemProps1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notes.xml" ContentType="application/vnd.openxmlformats-officedocument.wordprocessingml.footnotes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rStyle w:val="PO17"/>
          <w:i w:val="1"/>
          <w:color w:val="808080" w:themeColor="text1" w:themeTint="7F"/>
          <w:position w:val="0"/>
          <w:sz w:val="22"/>
          <w:szCs w:val="22"/>
          <w:rFonts w:ascii="Calibri" w:eastAsia="Calibri" w:hAnsi="Calibri" w:hint="default"/>
        </w:rPr>
        <w:autoSpaceDE w:val="1"/>
        <w:autoSpaceDN w:val="1"/>
      </w:pPr>
    </w:p>
    <w:p>
      <w:pPr>
        <w:sectPr>
          <w:bidi/>
          <w:footerReference w:type="default" r:id="rId6"/>
          <w:pgSz w:w="11906" w:h="16838"/>
          <w:pgMar w:top="1440" w:left="1800" w:bottom="1440" w:right="1800" w:header="708" w:footer="708" w:gutter="0"/>
          <w:pgNumType w:fmt="decimal"/>
          <w:docGrid w:type="default" w:linePitch="360" w:charSpace="0"/>
        </w:sect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22"/>
          <w:szCs w:val="22"/>
          <w:rFonts w:ascii="Calibri" w:eastAsia="Calibri" w:hAnsi="Calibri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22"/>
          <w:szCs w:val="22"/>
          <w:rFonts w:ascii="Calibri" w:eastAsia="Calibri" w:hAnsi="Calibri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22"/>
          <w:szCs w:val="22"/>
          <w:rFonts w:ascii="Calibri" w:eastAsia="Calibri" w:hAnsi="Calibri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22"/>
          <w:szCs w:val="22"/>
          <w:rFonts w:ascii="Calibri" w:eastAsia="Calibri" w:hAnsi="Calibri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22"/>
          <w:szCs w:val="22"/>
          <w:rFonts w:ascii="Calibri" w:eastAsia="Calibri" w:hAnsi="Calibri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22"/>
          <w:szCs w:val="22"/>
          <w:rFonts w:ascii="Calibri" w:eastAsia="Calibri" w:hAnsi="Calibri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center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56"/>
          <w:szCs w:val="56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56"/>
          <w:szCs w:val="56"/>
          <w:rFonts w:ascii="Traditional Arabic" w:eastAsia="Traditional Arabic" w:hAnsi="Traditional Arabic" w:hint="default"/>
        </w:rPr>
        <w:t xml:space="preserve">حل المنازعات التجارية عن طريق التوفيق</w:t>
      </w:r>
    </w:p>
    <w:p>
      <w:pPr>
        <w:bidi w:val="1"/>
        <w:numPr>
          <w:ilvl w:val="0"/>
          <w:numId w:val="0"/>
        </w:numPr>
        <w:jc w:val="center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56"/>
          <w:szCs w:val="56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56"/>
          <w:szCs w:val="56"/>
          <w:rFonts w:ascii="Traditional Arabic" w:eastAsia="Traditional Arabic" w:hAnsi="Traditional Arabic" w:hint="default"/>
        </w:rPr>
        <w:t xml:space="preserve">تأليف </w:t>
      </w:r>
    </w:p>
    <w:p>
      <w:pPr>
        <w:bidi w:val="1"/>
        <w:numPr>
          <w:ilvl w:val="0"/>
          <w:numId w:val="0"/>
        </w:numPr>
        <w:jc w:val="center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56"/>
          <w:szCs w:val="56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56"/>
          <w:szCs w:val="56"/>
          <w:rFonts w:ascii="Traditional Arabic" w:eastAsia="Traditional Arabic" w:hAnsi="Traditional Arabic" w:hint="default"/>
        </w:rPr>
        <w:t xml:space="preserve">مصطفى محمد صالح محمد </w:t>
      </w:r>
    </w:p>
    <w:p>
      <w:pPr>
        <w:bidi w:val="1"/>
        <w:numPr>
          <w:ilvl w:val="0"/>
          <w:numId w:val="0"/>
        </w:numPr>
        <w:jc w:val="center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56"/>
          <w:szCs w:val="56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56"/>
          <w:szCs w:val="56"/>
          <w:rFonts w:ascii="Traditional Arabic" w:eastAsia="Traditional Arabic" w:hAnsi="Traditional Arabic" w:hint="default"/>
        </w:rPr>
        <w:t xml:space="preserve">المحامي والمستشار والباحث القانوني </w:t>
      </w:r>
    </w:p>
    <w:p>
      <w:pPr>
        <w:bidi w:val="1"/>
        <w:numPr>
          <w:ilvl w:val="0"/>
          <w:numId w:val="0"/>
        </w:numPr>
        <w:jc w:val="center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40"/>
          <w:szCs w:val="40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56"/>
          <w:szCs w:val="56"/>
          <w:rFonts w:ascii="Traditional Arabic" w:eastAsia="Traditional Arabic" w:hAnsi="Traditional Arabic" w:hint="default"/>
        </w:rPr>
        <w:t xml:space="preserve">2024 </w:t>
      </w:r>
    </w:p>
    <w:p>
      <w:pPr>
        <w:bidi w:val="1"/>
        <w:numPr>
          <w:ilvl w:val="0"/>
          <w:numId w:val="0"/>
        </w:numPr>
        <w:jc w:val="center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40"/>
          <w:szCs w:val="40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center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40"/>
          <w:szCs w:val="40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center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40"/>
          <w:szCs w:val="40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center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40"/>
          <w:szCs w:val="40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center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40"/>
          <w:szCs w:val="40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center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40"/>
          <w:szCs w:val="40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center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40"/>
          <w:szCs w:val="40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center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40"/>
          <w:szCs w:val="40"/>
          <w:rFonts w:ascii="Traditional Arabic" w:eastAsia="Traditional Arabic" w:hAnsi="Traditional Arabic" w:hint="default"/>
        </w:rPr>
        <w:t xml:space="preserve">مقدمة 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ان المتعاملون في الاعمال التجارية يتعرضون مع كل فرصة عمل جديدة إلى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مخاطر جديدة ولذلك اصبحت طرق حل المنازعات في هذا العصر مقبولة كعنصر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هام من عناصر إدارة المخاطر , وتوجد هناك صعوبات في المنازعات التجارية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الدولية - خاصة – مثل : تباين الاختصاص القضائي واختلاف القوانين و الاعراف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التجارية  و تعدد الاجراءات . فكيف يحل المشتغلون في الاعمال التجارية الدولية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منازعاتهم أثناء المراحل المختلفة . 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سيقدم البحث بشكل مبسط بتوضيح البدائل المختلفة لإجراءات التقاضي في الدولة .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والتي يمكن اللجوء اليها لمنع او لحسم المنازعات التجارية ذات الطابع الدولي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لحديثي العهد بالتجارة الدولية . 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وقد تاسست الكثير من مراكز التحكيم والتوفيق حول العالم , وقد كبرة اهمية وفائدة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هذة المراكز في الحسم الفعال للمنازعات التجارية الدولية  , ولقد زادة بالفترة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الاخيرة أهمية الوسائل البديلة لحسم المنازعات كوسيلة فعالة لحسم المنازعات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التجارة والاستثمارات الدولية في الدول العربية بسبب لما لهذا الوسائل من ميزات ,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وسرعة البت النزاع , ومع ان التحكيم يبقى هو الوسيلة الاساسية  البديلة لحسم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المنازعات , ولكن لا نستطيع اغفال وتقليل أهمية الوسائل البديلة الاخرى كالتوفيق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والوساطة والتي تتميز بأنها من الوسائل غير القضائية لحل المنازعات التجارية . 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تتعاظم اهمية هذة الوسائل كل يوم خاصة بعد تكريس المعاهدات الدولية لها , مثل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ملحق تسوية المنازعات في اتفاقية المؤسسة العربية لضمان الاستثمار و اتفاقية البنك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الدولي بشأن تسوية منازعات الاستثمار بين الدول ومواطني الدول الاخرى و كما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وضعت لجنة الأمم المحتدة لقانون التجارة الدولية ( الأونسيترال ) قواعد للتوفيق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ساعدت في انتشار هذة الوسيلة .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سبب اختيار الموضوع : 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فهذا الوسائل تساعد في حل النزاع بأقصر الطرق الممكنة وأكثرها إيجابية , وبأقل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جهد ووقت , وأكثر سرية حفاظا على سمعتهم مع منحهم مرونة وحرية لا تتوفر في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المحاكم , فلا غرابة اذن ان تلقى الوسائل البديلة لحل النزاعات اهتماما متزايد على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مستوى مختلف الانظمة القانونية والقضائية وتزايد الاهتمام الدولي بها . وجدير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بالذكر ان الوسائل البديلة لحل المنازعات قد اصبحت من الوسائل الملائمة للفصل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في مجموعة هامة من المنازعات التجارية الدولية وحماية المستهلك , والمنازعات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الناشئة في بيئة الانترنت , والتجارة الالكترونية , والملكية الفكرية في العصر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الرقمي وغيرها , حتى اصبح يطلق الفقهاء على هذه الوسائل بالنظر إلى طابعة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العملي ( الطرق المناسبة لفض المنازعات ) بل لقد اصبح اللجوء إلى التحكيم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مشروطا في غالب الأحيان بضرورة اللجوء مسبقا إلى الوساطة أو التوفيق . 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مشكلة البحث  و فروض وتساؤلات البحث :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قلة المراجع وحداثة الموضوع المتطرق له في البحث , تعد مشكلة للباحثين فيه وانه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بسبب طبيعة الخصوصية للشركات وعدم الكشف عن أسرارها التجارية تعد أحد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المعوقات التي يصعب فيها على الباحث الوصول إلى أرقام أو طريقة تقريبيه للتوفيق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الوساطة و بالطبع هناك احترام من الموفق او الوسيط في العمليات البديلة لحل او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لحسم النزاع بعدم إفشاء اي معلومات للغير . 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ومع تبيان اهمية الوسائل البديلة لحل المنازعات وانها اصبحت الوسائل الملائمة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للفصل في مجموعة من المنازعات كما اسلفنا . هل يمكن الاعتماد على الوسائل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البديلة كالتوفيق والوساطة وجعلها وسائل رئيسية لحسم المنازعات التجارية ؟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 بمعنى هل ترتقي هذه الوسائل لتكون في مرتبة التحكيم التجاري أم انها ستظل مجرد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وسائل لحسم النزاع ولا ترتقي لمرتبة التحكيم ؟ 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وأيضا مامدى أخذ هذه الوسائل في الدول العربية لتطبيقها وما مدى فعالية تطبيقها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كمرحلة قبل التحكيم ؟  وهل هناك شروط أو عوائق تؤدي إلى عدم الأخذ بهذه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الوسائل ؟ وهاهي أكثر المشكلات العلمية التي تواجه الموفقين والوسطاء بين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الشركات التجارية أو الاطراف المتقدمين لحسم المناعزعات بالوسائل البديلة ؟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وماهي أكثر المخاوف من عدم الأخذ بالتوفيق أو الوساطة في العقود التجارية ؟ هذه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بعض التساؤلات التي تطرح عن هذا الموضوع .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منهج البحث :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سأتناول دراسة موضوع البحث متبعا المنهج التحليلي التأصيلي للقواعد والاحكام (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قانون الأونسيترال النموذجي للتوفيق التجاري الدولي عام 2002 ) التي تنظم هذا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النوع من الوسائل البديلة لحسم المنازعات التجارية  , وبعض المراجع الاخرى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المساعدة.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center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6"/>
          <w:szCs w:val="36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6"/>
          <w:szCs w:val="36"/>
          <w:rFonts w:ascii="Traditional Arabic" w:eastAsia="Traditional Arabic" w:hAnsi="Traditional Arabic" w:hint="default"/>
        </w:rPr>
        <w:t xml:space="preserve">الفصل الاول التوفيق التجاري </w:t>
      </w:r>
    </w:p>
    <w:p>
      <w:pPr>
        <w:bidi w:val="1"/>
        <w:numPr>
          <w:ilvl w:val="0"/>
          <w:numId w:val="0"/>
        </w:numPr>
        <w:jc w:val="center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المبحث الاول :ماهية التوفيق التجاري</w:t>
      </w:r>
    </w:p>
    <w:p>
      <w:pPr>
        <w:pStyle w:val="PO26"/>
        <w:bidi w:val="0"/>
        <w:numPr>
          <w:ilvl w:val="0"/>
          <w:numId w:val="5"/>
        </w:numPr>
        <w:jc w:val="right"/>
        <w:spacing w:lineRule="auto" w:line="275" w:before="0" w:after="200"/>
        <w:contextualSpacing w:val="1"/>
        <w:ind w:left="720" w:right="0" w:hanging="360"/>
        <w:rPr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تعريف التوفيق :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ورد في قانون الأونسيترال النموذجي للتوفيق التجاري الدولي الصادر عام 2002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بأنه (( أي عملية سواء أشير إليها بتعبير التوفيق أو الوساطة أو تعبير آخر ذى مدلول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مماثل  يطلب فيها الطرفان إلى شخص آخر أو أشخاص اخرين ( الموفق )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مساعدتهما في سعيهما الى التوصل لتسوية ودية لنزاعهما الناشئ عن علاقة تعاقدية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, أو علاقة قانونية أو المتصل بتلك العلاقة , ولا يكون للموفق الصلاحية لفرض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حل النزاع على الطرفين )) 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1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.وعرفه الفقه ( نوع من انواع الوسائل البديلة لحسم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المنازعات التجارية يتم بواسطة شخص ثالث حيادي ونزية, يحاول ان يقرب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أطراف النزاع , ويقترح إتفاق صلح بينهم , ويطلق على هذا الشخص اسم الموفق ( </w:t>
      </w:r>
      <w:r>
        <w:rPr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conciliater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 )  وتكون قراراته غير ملزمة ولايمكن تنفذها جبرا ) 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2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.</w:t>
      </w:r>
    </w:p>
    <w:p>
      <w:pPr>
        <w:pStyle w:val="PO26"/>
        <w:bidi w:val="0"/>
        <w:numPr>
          <w:ilvl w:val="0"/>
          <w:numId w:val="5"/>
        </w:numPr>
        <w:jc w:val="both"/>
        <w:spacing w:lineRule="auto" w:line="275" w:before="0" w:after="200"/>
        <w:contextualSpacing w:val="1"/>
        <w:ind w:left="720" w:right="0" w:hanging="360"/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التوفيق نوعين :                                                                         </w:t>
      </w:r>
    </w:p>
    <w:p>
      <w:pPr>
        <w:pStyle w:val="PO26"/>
        <w:bidi w:val="0"/>
        <w:numPr>
          <w:ilvl w:val="0"/>
          <w:numId w:val="2"/>
        </w:numPr>
        <w:jc w:val="both"/>
        <w:spacing w:lineRule="auto" w:line="275" w:before="0" w:after="200"/>
        <w:contextualSpacing w:val="1"/>
        <w:ind w:left="1080" w:right="0" w:hanging="720"/>
        <w:rPr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التوفيق الرضائي : فهو ودي رضائي يتم دون تتدخل من القضاء </w:t>
      </w:r>
    </w:p>
    <w:p>
      <w:pPr>
        <w:pStyle w:val="PO26"/>
        <w:bidi w:val="1"/>
        <w:numPr>
          <w:ilvl w:val="0"/>
          <w:numId w:val="0"/>
        </w:numPr>
        <w:jc w:val="left"/>
        <w:spacing w:lineRule="auto" w:line="275" w:before="0" w:after="200"/>
        <w:contextualSpacing w:val="1"/>
        <w:ind w:right="1080"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والتوفيق بهذا المعنى هو الاصل الذي تنص عليه الشروط التعاقدية 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3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</w:p>
    <w:p>
      <w:pPr>
        <w:pStyle w:val="PO26"/>
        <w:bidi w:val="0"/>
        <w:numPr>
          <w:ilvl w:val="0"/>
          <w:numId w:val="2"/>
        </w:numPr>
        <w:jc w:val="both"/>
        <w:spacing w:lineRule="auto" w:line="275" w:before="0" w:after="200"/>
        <w:contextualSpacing w:val="1"/>
        <w:ind w:left="1080" w:right="0" w:hanging="720"/>
        <w:rPr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التوفيق القضائي : يتم امام القضاء إبان رفع الدعوى بالنزاع إليه ويحدث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في حالتين : </w:t>
      </w:r>
    </w:p>
    <w:p>
      <w:pPr>
        <w:pStyle w:val="PO26"/>
        <w:bidi w:val="0"/>
        <w:numPr>
          <w:ilvl w:val="0"/>
          <w:numId w:val="3"/>
        </w:numPr>
        <w:jc w:val="both"/>
        <w:spacing w:lineRule="auto" w:line="275" w:before="0" w:after="200"/>
        <w:contextualSpacing w:val="1"/>
        <w:ind w:left="1440" w:right="0" w:hanging="360"/>
        <w:rPr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الحالة الاول : حيث يطلب الخصوم بانفسهم من المحكمة التدخل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لتسوية النزاع بطريق التوفيق وتفوضهم المحكمة باختيار موفق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يرتضونه للقيام بتلك المهمة او بقيام هيئة المحكمة ذاتها بمساعي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التوفيق , وفي هذا الحالة يكون التوفيق اقرب إلى التوفيق الاتفاقي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رغم تسميته توفيقا قضائيا وهي تسمية تعكس جانبا مهما , حيث ان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مايتم التوصل اليه تصادق عليه المحكمة أو تصدر به حكما , أو تلحقه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بمحضر جلستها , ويصير بتلك المثابة سندا تنفيذيا 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4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.</w:t>
      </w:r>
    </w:p>
    <w:p>
      <w:pPr>
        <w:pStyle w:val="PO26"/>
        <w:bidi w:val="0"/>
        <w:numPr>
          <w:ilvl w:val="0"/>
          <w:numId w:val="3"/>
        </w:numPr>
        <w:jc w:val="both"/>
        <w:spacing w:lineRule="auto" w:line="275" w:before="0" w:after="200"/>
        <w:contextualSpacing w:val="1"/>
        <w:ind w:left="1440" w:right="0" w:hanging="360"/>
        <w:rPr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الحالة الثانية : حيث تعرض المحكمة بنفسها , في بعض التشريعات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المقارنة , التوفيق في المنازعات على الخصوم قبل اتخاذ إجراءات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التقاضي بشأنها , ومن التشريعات التي أخذت بالحالتين السابقتين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للتوفيق القضائي قانون المرافعات الفرنسي في تعديله لعام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1995,1996 حيث نصت المادة (21) على أنه (( يدخل في مهمة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القاضي التوفيق بين الاطراف )) كما جاء بنص المادة (127) انه ((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يستطيع الاطراف التوفيق أو التصالح من تلقاء انفسهم أو بمبادرة من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القاضي طوال فترة الخصومة )) 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5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                                                               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.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-  خصائص التوفيق :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(طريقة ودية لتسوية المنازعات</w:t>
      </w:r>
      <w:r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 -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طريق قوامه تدخل احد من الغير </w:t>
      </w:r>
      <w:r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-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قرارات ليست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لها حجية الامر المقضي)</w:t>
      </w:r>
      <w:r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.</w:t>
      </w:r>
    </w:p>
    <w:p>
      <w:pPr>
        <w:pStyle w:val="PO26"/>
        <w:bidi w:val="0"/>
        <w:numPr>
          <w:ilvl w:val="0"/>
          <w:numId w:val="3"/>
        </w:numPr>
        <w:jc w:val="right"/>
        <w:spacing w:lineRule="auto" w:line="275" w:before="0" w:after="200"/>
        <w:contextualSpacing w:val="1"/>
        <w:ind w:left="1440" w:right="0" w:hanging="360"/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مميزات التوفيق التجاري :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الفرع الاول : السرعة والاقتصاد في الاجراءات 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u w:val="single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u w:val="single"/>
          <w:rFonts w:ascii="Traditional Arabic" w:eastAsia="Traditional Arabic" w:hAnsi="Traditional Arabic" w:hint="default"/>
        </w:rPr>
        <w:t xml:space="preserve">تحقيق العدالة السريعة المرضية 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تعد العدالة السريعة المرضية اهم الاهداف التي يسعى المنظمون  للوصول إليها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وتحقيقها فهي تظل الهاجس الذي يشغل بالهم ويسيطر عليهم دوما , وسرعة حسم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المنازعات بالوسائل البديلة ومنها التوفيق أمر مشجع لعلاقات التجارية الدولية التي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تتأثر بتقلبات سعر الصرف والبضائع , فالثقة  الموفق عن حل النزاع خير من ضياع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الوقت امام القضاء للوصول إلى الحق بكاملة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6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.حيث  لاتستغرق عملية التوفيق وقتا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طويل فأكثر عملية قد تستغرق من شهر إلى ثلاث شهور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7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.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u w:val="single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u w:val="single"/>
          <w:rFonts w:ascii="Traditional Arabic" w:eastAsia="Traditional Arabic" w:hAnsi="Traditional Arabic" w:hint="default"/>
        </w:rPr>
        <w:t xml:space="preserve">الحصول على عدالة أقل  تكلفة 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فهي لاتحتاج إلى محامين او مصاريف شهود وخبراء وقليلة التكلفة مقارنة بالتحكيم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ولما توفره من كسب الوقت الذي قد يتقلب معه اسعار البضائع والخدمات وأسعار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الصرف 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8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.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الفرع الثاني : المحافظة على العلاقات التعاقدية 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إن اختيار الأطراف للتوفيق كوسيلة لحسم النزاع لايأتي إلا من اجل غاية وهي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علاقتهم المستقبلية , فهذه الوسيلة لاتهدف فقط إلى إصلاح الأضرار المترتبة على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خروج العلاقة , أو بعد أن يثور النزاع , خصوصا بالنسبة للاطراف المتعاقدة على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مشروع طويل الأجل , فقد يكون من المهم بالنسبة لهم الحفاظ على علاقة جيدة في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حالة نشوء نزاع بينهم , وذلك من اجل الابقاء على المعاملات التجارية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المستقبلية ,ويكون من الضروري في مثل هذه الاحوال محاولة حسم النزاع بين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الاطراف بشكل ودي , فتحى المنازعات الدولية بين الدول عندما تلجأ للوسائل البديلة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للنزاع فهي تهدف إلى استمرار العلاقة والتعاقد بيهنم , لأن مصالحهم الحيوية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مترابطة فتحاول ان تتفادى القضاء والتحكيم , حتى لا يكون هناك حدة بعد صدور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القرار بشكل ملزم 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9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.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u w:val="single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u w:val="single"/>
          <w:rFonts w:ascii="Traditional Arabic" w:eastAsia="Traditional Arabic" w:hAnsi="Traditional Arabic" w:hint="default"/>
        </w:rPr>
        <w:t xml:space="preserve">اصلاح اضرار أطراف العلاقة وسريتها 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يهدف التوفيق إلى جبر الأضرار التي لحقت بأحد اطراف العلاقة من جراء عدم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التنفيذ , عكس الطرق القضائية أو التحكيمية فالتوفيق يعسى إلى إصلاح الضرر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الناشئ عن العلاقة من خلال حل ودي نابع من ارادة صادقة للأطراف لتجنب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الوقوف موقف المنازعين 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10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.وسرية الوساطة تبقي العلاقات مترابطة قوية بين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طرفي النزاع , وتؤدي إلى التعايش الايجابي بينهما في المستقبل , والمحافظة على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الأسرار التجارية أو التكنولوجية أو الصناعية لدرجة أن بعض الشركات تفضل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خسارة حقها على كشف أسرارها التجارية , أو الصناعية , أو التكنولوجية , والتي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تحرص على إبقائها سرا غير معروف للغير , لأنها هي سر نجاحها , وفي إذاعتها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أمام القضاء لتحقيق مبدأ العلانية وبال على نجاحها 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11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.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u w:val="single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u w:val="single"/>
          <w:rFonts w:ascii="Traditional Arabic" w:eastAsia="Traditional Arabic" w:hAnsi="Traditional Arabic" w:hint="default"/>
        </w:rPr>
        <w:t xml:space="preserve">اقامة التوازن والتعادل بين الأطراف 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تسعى التوفيق لجانب إصلاح الاضرار المتولدة عن العلاقة التعاقدية إلى ايجاد نوع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م التوازن او التعادل بين التزامات الاطراف , وكل ذلك من طريق عمل الموفق ,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فهذا الاخير يصل للحلول التي تعبر عن رضاء أطراف النزاع وبتكثيف جهدة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يتوصل إلى حل نهائي مرضي للطرفين ( عند التقاء وجهات النظر على نقطة اتفاق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فإن هذا من شأنة إقامة نوع من التوازن العقدي بين التزامات الأطراف تهيئة وتساعد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بدورها على إعادة التوازن بين الإلتزامات المتولدة عن العلاقة العقدية ) 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12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.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center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المبحث الثاني :اشكال السند القانوني للتوفيق</w:t>
      </w:r>
    </w:p>
    <w:p>
      <w:pPr>
        <w:bidi w:val="1"/>
        <w:numPr>
          <w:ilvl w:val="0"/>
          <w:numId w:val="0"/>
        </w:numPr>
        <w:jc w:val="center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الفرع الاول : شرط التوفيق 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هو اتفاق اطراف العلاقة القانونية على اللجوء إلى التوفيق لتسوية ماقد ينشأ بينهم من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منازعات مستقبلا , سواء ورد هذا الإتفاق ضمن شورط أو بنود عقد معين أم ورد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في صورة إتفاق مستقل ملحق به 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13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يترتب على ذلك : </w:t>
      </w:r>
    </w:p>
    <w:p>
      <w:pPr>
        <w:pStyle w:val="PO26"/>
        <w:bidi w:val="0"/>
        <w:numPr>
          <w:ilvl w:val="0"/>
          <w:numId w:val="4"/>
        </w:numPr>
        <w:jc w:val="right"/>
        <w:spacing w:lineRule="auto" w:line="275" w:before="0" w:after="200"/>
        <w:contextualSpacing w:val="1"/>
        <w:ind w:left="1080" w:right="0" w:hanging="720"/>
        <w:rPr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ان الشرط لا يكون إلا في التوفيق الرضائي</w:t>
      </w:r>
    </w:p>
    <w:p>
      <w:pPr>
        <w:pStyle w:val="PO26"/>
        <w:bidi w:val="0"/>
        <w:numPr>
          <w:ilvl w:val="0"/>
          <w:numId w:val="4"/>
        </w:numPr>
        <w:jc w:val="right"/>
        <w:spacing w:lineRule="auto" w:line="275" w:before="0" w:after="200"/>
        <w:contextualSpacing w:val="1"/>
        <w:ind w:left="1080" w:right="0" w:hanging="720"/>
        <w:rPr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انه لا تحدد موضوع النزاع في شرط التوفيق </w:t>
      </w:r>
    </w:p>
    <w:p>
      <w:pPr>
        <w:pStyle w:val="PO26"/>
        <w:bidi w:val="0"/>
        <w:numPr>
          <w:ilvl w:val="0"/>
          <w:numId w:val="4"/>
        </w:numPr>
        <w:jc w:val="right"/>
        <w:spacing w:lineRule="auto" w:line="275" w:before="0" w:after="200"/>
        <w:contextualSpacing w:val="1"/>
        <w:ind w:left="1080" w:right="0" w:hanging="720"/>
        <w:rPr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لابد ان يستوفي اركان الاتفاق ( الاهلية – المشروعية – المحل – السبب)</w:t>
      </w:r>
    </w:p>
    <w:p>
      <w:pPr>
        <w:pStyle w:val="PO26"/>
        <w:bidi w:val="0"/>
        <w:numPr>
          <w:ilvl w:val="0"/>
          <w:numId w:val="4"/>
        </w:numPr>
        <w:jc w:val="right"/>
        <w:spacing w:lineRule="auto" w:line="275" w:before="0" w:after="200"/>
        <w:contextualSpacing w:val="1"/>
        <w:ind w:left="1080" w:right="0" w:hanging="720"/>
        <w:rPr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على غرار شرط التحكيم , فان شرط التوفيق مستقل عن العقد المدرج فيه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او الملحق به , فلا يبطل ببطلان ذلك العقد ولايثأثر بما يلحق به من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اسباب تؤدي إلى تعطيله , طالما استجمع شرط التوفيق في ذاته شروط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وجوده وصحته 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14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.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center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الفرع الثاني : مشارطة التوفيق 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هو نوع من الاتفاق على اللجوء إلى التوفيق الذي يتم التراضى عليه بعد وقوع النزاع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بين أطرافه , ولابد أن يراعى من ناحية ضرورة ان يتضمن المشارطة بيانا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بموضوع التوفيق , المسائل والمشكلات التي سيتناولها التوفيق , وتحديد مايريده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الطرفان , ومن ناحية ثانية ان تلك المشارطة يتم الاتفاق عليها وتوقيعها من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الاطراف في حال التوفيق الرضائي أو الاتفاقي الذي يتم خارج حدود القضاء , سواء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كانت بمبادرة من الاطراف او القاضي , او المحكم , ومن ناحية اخيرة فانه لامشكله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على اطراف النزاع إذا ابرموا مشارطة توفيق بعد وقوع النزاع رغم وجود التوفيق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في العقد او المعاملة بينهم والمدرج به قبل وقوع النزاع , فهو مفيد لتحديد الموضوع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والمسائل التي سيدور حولها التوفيق , ولايؤدي إبرام مشارطة التوفيق إلى إلغاء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شرط التوفيق كما ان بطلان احدهما لا يؤدي إلى بطلان الاخير 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15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.</w:t>
      </w:r>
    </w:p>
    <w:p>
      <w:pPr>
        <w:bidi w:val="1"/>
        <w:numPr>
          <w:ilvl w:val="0"/>
          <w:numId w:val="0"/>
        </w:numPr>
        <w:jc w:val="center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الفرع الثالث : التوفيق بالإحالة 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من المتصور أن يجئ الإتفاق على تسوية النزاع القائم بين الأطراف بطريق التوفيق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عن طريق إحالة ترد في العقد أو المعاملة إلى مستند , أو محرر يتضمن شرط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التوفيق ومن ذلك مثلا : أن يضمن أطراف عقد مقاولة من الباطن إتفاقهم بندا حول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تسوية المنازعات , وبدلا من النص الصريح على وسيلة تسوية النزاع يتخصرون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الطريق ويكتبون بندا في عقد المقاولة من الباطن يحيل الى بند أو شرط وارد في عقد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المقاولة الاصلي المبرم بين المقاول العام ورب العمل أو المالك , وينص على تسوية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المنازعات وديا عن طريق التوفيق , كان ينص في عقد المقاولة من الباطن على ان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(( تسوى منازعات هذا العقد بذات وسائل تسوية منازعات عقد المقاولة بين المقاول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ورب العمل )) ويكون عقد المقاولة الاخير ينص على ان (( اي نزاع ينشا بين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الاطرفين , حول تفسير او تنفيذ هذا العقد , او اي امر يتعلق به يحاول الاطراف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تسويته بطريق التوفيق , فإن لم ينجح ماعيهم في ذلك يعرض النزاع على هيئة تحكيم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يتم الاتفاق على تشكيلها وتحديد الاجراءات امامها 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16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, وللاعتراف بصحتها لابد من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توفير شرطين : </w:t>
      </w:r>
    </w:p>
    <w:p>
      <w:pPr>
        <w:pStyle w:val="PO26"/>
        <w:bidi w:val="0"/>
        <w:numPr>
          <w:ilvl w:val="0"/>
          <w:numId w:val="6"/>
        </w:numPr>
        <w:jc w:val="right"/>
        <w:spacing w:lineRule="auto" w:line="275" w:before="0" w:after="200"/>
        <w:contextualSpacing w:val="1"/>
        <w:ind w:left="1080" w:right="0" w:hanging="72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أن يكون العقد المحال له مكتوب .</w:t>
      </w:r>
    </w:p>
    <w:p>
      <w:pPr>
        <w:pStyle w:val="PO26"/>
        <w:bidi w:val="0"/>
        <w:numPr>
          <w:ilvl w:val="0"/>
          <w:numId w:val="6"/>
        </w:numPr>
        <w:jc w:val="right"/>
        <w:spacing w:lineRule="auto" w:line="275" w:before="0" w:after="200"/>
        <w:contextualSpacing w:val="1"/>
        <w:ind w:left="1080" w:right="0" w:hanging="72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ان تكون الاحالة واضحه في إعتبار شرط التوفيق المحال إليه جزء من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العقد المحال له.</w:t>
      </w:r>
    </w:p>
    <w:p>
      <w:pPr>
        <w:pStyle w:val="PO26"/>
        <w:bidi w:val="0"/>
        <w:numPr>
          <w:ilvl w:val="0"/>
          <w:numId w:val="0"/>
        </w:numPr>
        <w:jc w:val="right"/>
        <w:spacing w:lineRule="auto" w:line="275" w:before="0" w:after="200"/>
        <w:contextualSpacing w:val="1"/>
        <w:ind w:left="720" w:righ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0"/>
        </w:numPr>
        <w:jc w:val="right"/>
        <w:spacing w:lineRule="auto" w:line="275" w:before="0" w:after="200"/>
        <w:contextualSpacing w:val="1"/>
        <w:ind w:left="720" w:righ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0"/>
        </w:numPr>
        <w:jc w:val="right"/>
        <w:spacing w:lineRule="auto" w:line="275" w:before="0" w:after="200"/>
        <w:contextualSpacing w:val="1"/>
        <w:ind w:left="720" w:righ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0"/>
        </w:numPr>
        <w:jc w:val="right"/>
        <w:spacing w:lineRule="auto" w:line="275" w:before="0" w:after="200"/>
        <w:contextualSpacing w:val="1"/>
        <w:ind w:left="720" w:righ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0"/>
        </w:numPr>
        <w:jc w:val="right"/>
        <w:spacing w:lineRule="auto" w:line="275" w:before="0" w:after="200"/>
        <w:contextualSpacing w:val="1"/>
        <w:ind w:left="720" w:righ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0"/>
        </w:numPr>
        <w:jc w:val="right"/>
        <w:spacing w:lineRule="auto" w:line="275" w:before="0" w:after="200"/>
        <w:contextualSpacing w:val="1"/>
        <w:ind w:left="720" w:righ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0"/>
        </w:numPr>
        <w:jc w:val="right"/>
        <w:spacing w:lineRule="auto" w:line="275" w:before="0" w:after="200"/>
        <w:contextualSpacing w:val="1"/>
        <w:ind w:left="720" w:righ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0"/>
        </w:numPr>
        <w:jc w:val="right"/>
        <w:spacing w:lineRule="auto" w:line="275" w:before="0" w:after="200"/>
        <w:contextualSpacing w:val="1"/>
        <w:ind w:left="720" w:righ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0"/>
        </w:numPr>
        <w:jc w:val="right"/>
        <w:spacing w:lineRule="auto" w:line="275" w:before="0" w:after="200"/>
        <w:contextualSpacing w:val="1"/>
        <w:ind w:left="720" w:righ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0"/>
        </w:numPr>
        <w:jc w:val="right"/>
        <w:spacing w:lineRule="auto" w:line="275" w:before="0" w:after="200"/>
        <w:contextualSpacing w:val="1"/>
        <w:ind w:left="720" w:righ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0"/>
        </w:numPr>
        <w:jc w:val="right"/>
        <w:spacing w:lineRule="auto" w:line="275" w:before="0" w:after="200"/>
        <w:contextualSpacing w:val="1"/>
        <w:ind w:left="720" w:righ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0"/>
        </w:numPr>
        <w:jc w:val="right"/>
        <w:spacing w:lineRule="auto" w:line="275" w:before="0" w:after="200"/>
        <w:contextualSpacing w:val="1"/>
        <w:ind w:left="720" w:righ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0"/>
        </w:numPr>
        <w:jc w:val="right"/>
        <w:spacing w:lineRule="auto" w:line="275" w:before="0" w:after="200"/>
        <w:contextualSpacing w:val="1"/>
        <w:ind w:left="720" w:righ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center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المبحث الثالث:التمييز بين التوفيق والتحكيم 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يشترك التوفيق مع التحكيم في بعض الصفات فهما يتميزان بطابع إختياري ملزم بعد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الاتفاق عليه فهدفهما الاساسي هو الوصول إلى نقطة تفصل في النزاع القائم , وان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المسائل التي يرد على التحكيم يمكن الاتفاق على إجراء التوفيق بشأنها 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17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. يتشابه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التوفيق والتحكيم بأنهما وسيلتان لتسوية المنازعات التجارية بدلا من القضائ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والهدف من الاتفاق بين طرفي النزاع على التحكيم او التوفيق هو لحل نزاع قائم أو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محتمل , اذا تم الاشتراط بين الطرفين في النزاع على حل المنازعات بالتحكيم أو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التوفيق , فإنة يجب عليهما احترام هذا الشرط وعدم عرض المنازعة على القضاء ,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ان كل من الوسيلتين يوجد طرف ثالثا او طرفا اخر يقوم بعملية التحكيم او بعملية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التوفيق , ويسمى في التحكيم المحكم ويسمى في التوفيق الموفق او الوسيط 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18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ومع ذلك فان التحكيم يتختلف عن التوفيق في :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التوفيق غير ملزم ام التحكيم فقراره ملزم دون استلزام موافقة اطراف النزاع  ولا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يمكن التراجع عن التحكيم قبل انتهائه بصدور الحكم فيه على خلاف التوفيق الذي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يمكن العدول عنه 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19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.و تختلف امكانية مساهمة الأطراف في صنعه , فكما هو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معروف يقوم المحكم بعمل قضائي خاص بهدف تسوية مايعرض عليه من منازعات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وعليه فإن مايصدره من قرارات تفرض على الاطراف 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20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, اما الموفق فيفصل في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النزاع عن طريق تخلي كل طرف عن جزء من مطالبه أي عن طريق تنازلات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متبادلة فان اصر كل طرف على موقفه او متمسك بكل مطالبة فلن يكون هناك توفيق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, فعمل الموفق يعتمد على دور الاطراف في المساعدة والتعاون في حل وانهاء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النزاع 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21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.</w:t>
      </w:r>
    </w:p>
    <w:p>
      <w:pPr>
        <w:bidi w:val="1"/>
        <w:numPr>
          <w:ilvl w:val="0"/>
          <w:numId w:val="0"/>
        </w:numPr>
        <w:jc w:val="center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center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center"/>
        <w:spacing w:lineRule="auto" w:line="275" w:before="0" w:after="200"/>
        <w:ind w:left="0" w:firstLine="0"/>
        <w:rPr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28"/>
          <w:szCs w:val="28"/>
          <w:rFonts w:ascii="Calibri" w:eastAsia="Calibri" w:hAnsi="Calibri" w:hint="default"/>
        </w:rPr>
        <w:t xml:space="preserve">المبحث الرابع : </w:t>
      </w:r>
      <w:r>
        <w:rPr>
          <w:rtl/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t xml:space="preserve">التزامات وحقوق الموفق</w:t>
      </w:r>
    </w:p>
    <w:p>
      <w:pPr>
        <w:pStyle w:val="PO26"/>
        <w:bidi w:val="0"/>
        <w:numPr>
          <w:ilvl w:val="0"/>
          <w:numId w:val="10"/>
        </w:numPr>
        <w:jc w:val="both"/>
        <w:spacing w:lineRule="auto" w:line="275" w:before="0" w:after="200"/>
        <w:contextualSpacing w:val="1"/>
        <w:ind w:left="1440" w:right="0" w:hanging="360"/>
        <w:rPr>
          <w:b w:val="1"/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28"/>
          <w:szCs w:val="28"/>
          <w:rFonts w:ascii="Calibri" w:eastAsia="Calibri" w:hAnsi="Calibri" w:hint="default"/>
        </w:rPr>
        <w:t xml:space="preserve">التزامات الموفق</w:t>
      </w:r>
      <w:r>
        <w:rPr>
          <w:b w:val="1"/>
          <w:color w:val="auto"/>
          <w:position w:val="0"/>
          <w:sz w:val="28"/>
          <w:szCs w:val="28"/>
          <w:rFonts w:ascii="Calibri" w:eastAsia="Calibri" w:hAnsi="Calibri" w:hint="default"/>
        </w:rPr>
        <w:t xml:space="preserve">                                             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rStyle w:val="PO20"/>
          <w:b w:val="0"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أولا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 : الكشف عن الظروف والوقائع التي من شأنها إثارة شكوك حول حياده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واستقلاله  فلابد أن يقوم الموفق بشرح وإدلاء كل الأمور، أو الظروف، أو الوقائع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التي ربما تثير الشكوك حول حياديته واستقلاله عند قبوله للتوفيق -سواء لفظا أو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كتابة- ويجب أن يبين ويظهر حياده منذ موافقته لمهمة التوفيق ويستمر عليها حتى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صدور التوصية، ويتم ذلك عن طريق أن يكتب تقريرا عن علاقته، ومصالحه،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واهتماماته، وأعماله الحالية والسابقة والقادمة المتعلقة بموضوع نزاع التوفيق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وأطرافه، وأقاربهم، ويجب على الموفق البوح عن أسباب رده عن مهمة التوفيق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لطرفي النزاع، ولا يباشر مهمته إلا بموافقة جميع أطراف النزاع وعدم اعتراض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أحدهم عليه في الوقت المحدد حتى يحاطوا علما بتلك الظروف والوقائع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footnoteReference w:id="22"/>
      </w:r>
      <w:r>
        <w:rPr>
          <w:rtl/>
          <w:vertAlign w:val="subscript"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>.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rStyle w:val="PO20"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ثانيا</w:t>
      </w:r>
      <w:r>
        <w:rPr>
          <w:rtl/>
          <w:rStyle w:val="PO20"/>
          <w:b w:val="0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 :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أداء المهمة بنزاهة وعدالة , إن دور الموفق ما هو إلا دور إرشادي لطرفي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النزاع عن طريق تقديم دعوة لهما بتقديم إيضاحات حول مشكلة أو نزاع نشأ بينهما،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وبدون الحلول المقترحة للنزاع فهنا يجب أن يكون الموفق ملتزما بأداء مهمته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بنزاهة، وعدالة، وعدم الانحياز لأحد طرفي النزاع أو ضده، ولا يصح مع نزاهة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وعدالة الموفق استغلال الموفق لعدم خبرة أحد طرفي النزاع أو محاميه من خلال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حرمانه من الاطلاع على مستندات خصمه وارتكاب غش، أو تدليس، أو غدر، أو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خطأ مهني جسيم بسوء نية بقصد الإضرار بأحد طرفي النزاع، أو لتحقيق مصلحة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خاصة بالموفق، أو وصف مستند على غير حقيقته أو قيام الموفق بتصرف معين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يضر بأحد طرفي النزاع نتيجة رشوة من الطرف الآخر، أو انحراف الموفق عن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الوقائع أو الأقوال أو المستندات أو حقائق عملية التوفيق، أو سوء نية الموفق وغشه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تجاه طرفي النزاع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23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.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ثالثا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 : احترام مبدأ سرية التوفيق , يقع على عاتق الموفق أحد أهم الالتزامات، وهي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المحافظة على الأسرار المهنية التي في المهمة التي تعهد على القيام بها، ويجب عليه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احترام مبدأ سرية التوفيق، وإلا وقع تحت طائلة المساءلة القانونية، فجلسات التوفيق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تكون سرية، ولا يجوز حضور أحد ممن ليس له علاقة بالنزاع مالم يتفق طرفا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النزاع على غير ذلك استنادا إلى خصوصية منازعة التوفيق، فعملية التوفيق تكون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سرية إلا على أطراف التوفيق وممثليهم  بخلاف القضاء، فالأصل فيه العلانية,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ويشمل نطاق الحظر على الموفق: عدم إفشاء أسرار إجراءات التوفيق، والجلسات،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وتسريب المعلومات، والوثائق، والأقوال والأفعال والأدلة الخاصة بعملية التوفيق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والاستفادة بالمعلومات ماديا أو معنويا، وإطلاع الغير على المستندات، أو الإدلاء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بشهادة أمام القضاء عن مهمة الوساطة، أو إفشاء المعلومات إلى وسائل الإعلام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للتربح من ورائها، أو نشر إجراءات التوفيق، ولا يحق للموفق العمل كمستشار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قانوني لأحد طرفي النزاع، أو كمحكم، ضمانا لسرية التوفيق, ويرجع السبب في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وجوب التزام الموفق بسرية عملية التوفيق إلى أنه يتأمل الطرفان فى توطيد ثقتهما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في التوفيق كوسيلة بديلة لفض المنازعات لعدم إثارة أو خروج معلومات وأدلة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التوفيق أثناء متابعة إجراءات الخصومة القضائية، نظرا لاستقلال إجراءات التوفيق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عن الإجراءات القضائية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24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.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3"/>
        </w:numPr>
        <w:jc w:val="right"/>
        <w:spacing w:lineRule="auto" w:line="275" w:before="0" w:after="200"/>
        <w:contextualSpacing w:val="1"/>
        <w:ind w:left="1440" w:right="0" w:hanging="360"/>
        <w:rPr>
          <w:rStyle w:val="PO20"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rStyle w:val="PO20"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حقوق الموفق 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اولا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 : الحق في قبول أو رفض مهمة التوفيق,إن الطابع الأساسي الذي تقوم عليه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التوفيق هي الإرادة الحرة لطرفي النزاع والموفق عند إبرام عقد التوفيق بينهما، ومن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هذا المنطلق فإن الموفق له كامل الحرية في إصدار موافقته على قبول التوفيق أو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رفضها، ولا يستطيع أحد غصب طرف من طرفي النزاع على الموافقة على تعيين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موفق ما لا يرغب به الآخر، كذلك الحال بالنسبة للموفق، فلا يستطيع أحد إجباره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على مهمة التوفيق مالم يرغب بتولي المهمة، فهو حق مطلق غير مقيد للموفق, ولكن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متى قبل الموفق القيام بمهمة التوفيق فإنه يصدر موافقته وقبوله بشكل صريح، أو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ضمني، شفويا، أو كتابيا، ويجب أن يكون قبول الموفق لمهمة التوفيق نهائيا ومنجزا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ودون أي تحفظات، وغير معلق على شرط أو مضافا إلى أجل, وإذا امتنع الموفق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عن قبول التوفيق فإنه غير ملزم بإيضاح الأسباب، فهي تقدير شخصي للموفق إذا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أراد الإفصاح عنها أو كتمها، والرفض أيضا قد يكون مكتوبه أو شفويا، صريحا، أو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ضمنيا، ولا يمكن اعتبار الموفق مرتكبا لجريمة إنكار العدالة، - لأنه ليس قاضيا –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إلا إذا امتنع عن القيام بمهمة التوفيق بعد قبولها، لأنه سيكون محلا للمساءلة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القانونية مالم يكن لديه عذر مقبول يبرر امتناعه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25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.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ثانيا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 : حق الموفق في الأتعاب والمصاريف والتعويض,إن أحد الحقوق المكفولة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للموفق بمقتضى العقد المبرم بينه وبين طرفي النزاع حقه في المصاريف والأتعاب،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مالم قد يكون قد تنازل عنها، والمقصود هنا بأتعاب الموفق المبالغ المالية التي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يحصل عليها الموفق كمقابل للعمل والجهد الذي يقدمه أثناء عملية التوفيق، ويقصد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بها المبالغ المالية التي تكبدها الموفق في التنقلات إلى مكان التوفيق، ومصاريف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الإقامة، ونفقات المعاونين له في عملية التوفيق، ويقصد بالتعويض المبالغ المالية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التي يستحقها الموفق مقابل خطأ طرفي النزاع أو أحدهما الذي ترتب عليه ضرر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مادى أو أدبي طبقا للقواعد العامة في المسئولية المدنية وكما –أيضا- لو قام طرفا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النزاع أو أحدهما برد أو عزل الموفق دون مبرر قانوني لمجرد التشهير به وإساءة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سمعته، وكان ذلك سوء نية, ويتم دفع مصاريف الموفق بالإتفاق بينه وبين طرفي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النزاع وتحديد الطرف الذي سيتحمل دفعها كلها أو بعضها وقد يكون الدفع بين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الطرفين بالتساوي، وفي حال عدم وجود اتفاق بشأنها يجوز للموفق أن يقوم بتقديرها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 وتحديد كيفية دفعها ومن سيتحملها في التوصية، ويستحق الموفق أتعابه بمقدار ما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بذله في عملية التوفيق من تعب ومجهود في معاينة ودراسة وفحص ملف عملية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التوفيقولكن قد يسأل الموفق إذا انقضتمهمة التوفيق بسبب إهمال الموفق، أو خطئه،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أو سوء نيته، لأنه يكون قد تسبب في ضياع وقت وجهد طرفي النزاع دون جدوى،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ربما أدى إلى اتساع الفجوة والخلاف بينهما ويكون محلا للمساءلة القانونية عن ذلك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الخطأ والإهمال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26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.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ثالثا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 : احترام الموفق وتقديم المعونة له ومساعدته على فض النزاع فمن حق الموفق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على طرفي النزاع -عندما يوافق على قبول مهمة التوفيق- احترامه وتوقيره وعدم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الإساءة إليه، أو إتهامه بما ليس فيه مما قد يخدش عدالته، وأمانته، ونزاهته،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ومخاطبته بشكل يليق به كموفق، ومعاملته بحسن نية فهو ليس خصما لأحد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الطرفين، واتباعه فيما يقرره من تعليمات لحل النزاع بطريقة سليمة وسريعة،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ومساعدته بتقديم الإيضاحات والمعلومات الضرورية، والأدلة المفيدة لإظهار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الحقيقة والعدالة, وحق الموفق في عرض النزاع عليه هو حق شخصي له، وبالتالي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لا يجوز لطرفي النزاع عرض نزاعهما على غيره، وإلا كان إخلالا بالتزاماتهما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تجاه الموفق بعرض النزاع عليه، وكانا محلا للمساءلة القانونية بالتعويض عن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الأضرار التي أصابت الموفق – خاصة إذا كان قد بدأ فعلا في تنفيذ مهمة التوفيق –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ماديا ومعنويا بالإساءة إلى المركز الأدبي له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27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.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center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t xml:space="preserve">المبحث الخامس :سير عملية التوفيق</w:t>
      </w:r>
    </w:p>
    <w:p>
      <w:pPr>
        <w:pStyle w:val="PO26"/>
        <w:bidi w:val="0"/>
        <w:numPr>
          <w:ilvl w:val="0"/>
          <w:numId w:val="3"/>
        </w:numPr>
        <w:jc w:val="right"/>
        <w:spacing w:lineRule="auto" w:line="275" w:before="0" w:after="200"/>
        <w:contextualSpacing w:val="1"/>
        <w:ind w:left="1440" w:right="0" w:hanging="360"/>
        <w:rPr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t xml:space="preserve">ابداء الرغبة في التوفيق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إن أساس عملية التوفيق هي إرادة ورغبة طرفي النزاع التوصل إلى تسوية ودية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غير ملزمة، لكي تذوب الخلافات بينهما وتقريب وجهات النظر المتعارضة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والوصول إلى حل مقنع ومرض للطرفين بمساعدة طرف ثالث محايد يكون محل ثقة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لهما, و الأصل العام في المنازعات أو الخصومات هو لجوء الشخص المتضرر إلى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القضاء أو التحكيم لتسوية الخلافات الناشئة, ولكن قد يتغير الوضع عندما يلتمس هذا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الشخص المتضرر أن هناك محاولة جادة للصلح أو التوفيق أو الوساطة قد تكون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أفضل من الذهاب للمحاكم, أو لتفادي حالة الخصوم, وبهذا يبدي الشخص المتضرر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رغبة صادقة في المصالحة </w:t>
      </w:r>
      <w:r>
        <w:rPr>
          <w:rtl/>
          <w:vertAlign w:val="super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per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28"/>
      </w:r>
      <w:r>
        <w:rPr>
          <w:rtl/>
          <w:vertAlign w:val="super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.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نص على ذلك صراحة قانون الاونيسترال النموذجي للتوفيق التجاري الدولي عام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2002المادة (1) الفقرة (6) يطبق هذا القانون ايضا على التوفيق التجاري عندما يتفق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الطرفان على ان التوفيق دولى او عندما يتفقان على قابلية انطباق هذا القانون 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29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.</w:t>
      </w:r>
    </w:p>
    <w:p>
      <w:pPr>
        <w:pStyle w:val="PO26"/>
        <w:bidi w:val="0"/>
        <w:numPr>
          <w:ilvl w:val="0"/>
          <w:numId w:val="3"/>
        </w:numPr>
        <w:jc w:val="both"/>
        <w:spacing w:lineRule="auto" w:line="275" w:before="0" w:after="200"/>
        <w:contextualSpacing w:val="1"/>
        <w:ind w:left="1440" w:right="0" w:hanging="360"/>
        <w:rPr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t xml:space="preserve">إجراءات ومراحل التوفيق 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وتكون أول مراحل الاجراءات أرسال طلب  الأتفاق على اللجوء إلى التوفيق من قبل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أحد الطرفين وإذا لم يرد عليه الطرف الأخر في خلال المدة المحددة في طلب الدعوة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فأن ذلك يعتبر رفضاً  وذلك مانصت عليه المادة (4) من قانون الأونيسترال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النموذجي للتوفيق التجاري بأنه : " (1) تبدأ إجراءات التوفيق , المتعلقة بنزاع كان قد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نشأ , في اليوم الذي يتفق فيه طرفا ذلك النزاع على المشاركة  في إجراءات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توفيق .(2) إذا لم يتلق الطرف الذى دعا طرفاً اخر الى التوفيق قبولا للدعوة في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غضون ثلاثين يوماً من اليوم الذي ارسلت فيه الدعوة , او في غضون مدة اخرى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محددة في الدعوة , جاز للطرف ان يعتبر ذلك رفضاً للدعوة إلى التوفيق " 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30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. 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    أول جلسة يجتمع فيها الموفق أو هيئة التوفيق بأطراف النزاع للتباحث حول سير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عملية حل النزاع , ومن هنا يجئ التزام الموفق بدعوة الأطراف إلى جلسة مشتركة,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وتوجه الدعوه, بالطريقة التي يحددها الموفق بالاتفاق مع هؤلاء بمكاتبة تسلم إلى كل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طرف شخصيا، أو في مقر عمله , أو في محل إقامته, أو في عنوانه البريدي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المعروف للطرفين، أو في مشارطة التوفيق، أو في الوثيقة المنظمة للعلاقة التي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يتناولها التوفيق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31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 .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   ثم يأتي بعد هذا التحديد دور الموفق، حيث يلعب دورا أساسيا في التقريب بين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وجهات النظر المتباينة للأطراف، وصولا بهم إلى نقطة التقاء تتحقق عندها أمانيهم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ورغباتهم بعيدا عن مشقة اللجوء إلى التحكيم أو القضاء، فعادة ما تمر عملية التوفيق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بمراحل عدة حتى يمكن الوصول إلى حل يرتضيه الطرفان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32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.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  وإننا نرى أن للطرفين حرية اختيار سير الإجراءات، والطريقة التي يجرى بها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التوفيق، وذلك وفقا للمادة (6) قانون الأونيسترال النموذجي للتوفيق التجاري في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المادة الفقرة (1) بأنه : " للطرفين الحرية في أن يتفقا, بالرجوع إلى مجموعة قواعد،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أو بطريقة أخرى, على الطريقة التي التي يجرى بها التوفيق 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33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 " , في حال عدم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اتفاق الطرفين على الطريقة التي يجرى بها التوفيق  وفقا للمادة (6) من قانون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الأونيسترال النموذجي للتوفيق التجاري الدولي الفقرة (2) بأنه : " في حال عدم اتفاق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على الطريقة التي يجرى بها التوفيق, يجوز للموفق تسيير إجراءات التوفيق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بالطريقة التي يراها مناسبة, مع مراعاة ظروف القضية، وأي رغبات قد يبديها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الطرفان، والحاجة إلى تسوية سريعة للنزاع 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34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)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".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وعادة تبدأ بعملية الإعداد والتحضير، وبعد ذلك يعقبها التقديم والعرض، ثم بيان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المشكلة وتوضيحها، وبعد ذلك يتم طرح وتقديم البدائل التي يمكن الاختيار من بينها،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وأخيرا الاتفاق على الحل الذي يشبع رغبات الأطراف ويحقق أمانيهم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35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. عادة في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الجلسة المشتركة توضع الخريطة للطريق الإجرائي الذي ستسير عليها عملية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التوفيق , لاسيما تحديد كل مايتعلق بالآتي :((القواعد الإجرائية التي يجب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اتباعها.,مكان جلسات التوفيق. ,لغة الإجراءات.,موعد تقديم المستندات.,الاستعانة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بالخبراء والشهود .,المدة التي يجب أن تنتهي عملية التوفيق خلالها .. الخ.)) , وفي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كل الأحوال للطرفين الحرية في أن يتفقا بالرجوع إلى مجموعة قواعد، أو بطريقة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أخرى على الطريقة التي يجري بها التوفيق، وفي حالة عدم الاتفاق يجوز للموفق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تسيير إجراءات التوفيق بالطريقة التي يراها مناسبة مع مراعاة ظروف النزاع، وأية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رغبات قد يبديها الطرفان والحاجة إلى تسوية سريعة للنزاع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36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.ويستطيع الموفق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مقابلة الطرفين معاً أو يجتمع مع كل طرف لوحده تأكيد ذلك في المادة (7) من قانون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الأونيسترال النموذجي للتوفيق التجاري التي تنص بأنه : " يجوز للموفق الاجتماع أو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الاتصال بالطرفين معاً , او بكل منهما على حدة " 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37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 .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وعند صدور التوصية في الجلسة الأخيرة من التوفيق سواء كان الحضور طرفي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النزاع أو ممثليهما، فإن الموفق يقوم بكتابة تلك التوصية في مسودة وإعطاء كل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طرف نسخة منها، فإذا قبلت تلك التوصيات، واتفق عليها طرفا النزاع يقوم بتحرير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محضر يكتب فيه مضمون التوصية الصادرة، ويقوم الأطراف بالتوقيع عليها ومن ثم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يصبح اتفاقا رسميا ملزما للطرفين 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38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.</w:t>
      </w:r>
    </w:p>
    <w:p>
      <w:pPr>
        <w:pStyle w:val="PO26"/>
        <w:bidi w:val="0"/>
        <w:numPr>
          <w:ilvl w:val="0"/>
          <w:numId w:val="3"/>
        </w:numPr>
        <w:jc w:val="both"/>
        <w:spacing w:lineRule="auto" w:line="275" w:before="0" w:after="200"/>
        <w:contextualSpacing w:val="1"/>
        <w:ind w:left="1440" w:right="0" w:hanging="360"/>
        <w:rPr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t xml:space="preserve">انتهاء عملية التوفيق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في الواقع إن سير عملية التسوية الودية بنجاح يعتمد كما سبق أن قررنا على روح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الود والمحاولة الصادقة من الأطراف للوصول إلى حل ودي ينهي هذا الخلاف،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ويزيل ما قد ترسب في نفوس أحدهم من مشاعر البغض وروح العداء، لهذا يمثل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فقدان هذه الروح السبب الرئيسي في فشل المحاولة، وتقليلا من الدور الذي تلعبه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السبل الودية في تسوية المنازعات الدولية، وأيا كان مصير المحاولة فإنه يمكن القول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بأنها تنتهي في أحوال ثلاثة: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u w:val="single"/>
          <w:rFonts w:ascii="Traditional Arabic" w:eastAsia="Traditional Arabic" w:hAnsi="Traditional Arabic" w:hint="default"/>
        </w:rPr>
        <w:t>أولهما</w:t>
      </w:r>
      <w:r>
        <w:rPr>
          <w:rtl/>
          <w:color w:val="auto"/>
          <w:position w:val="0"/>
          <w:sz w:val="32"/>
          <w:szCs w:val="32"/>
          <w:u w:val="single"/>
          <w:rFonts w:ascii="Traditional Arabic" w:eastAsia="Traditional Arabic" w:hAnsi="Traditional Arabic" w:hint="default"/>
        </w:rPr>
        <w:t>: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 توقيع اتفاق بين الأطراف , وبمجرد اتفاق الأطراف على قبول الحل الذي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اقترحه الموفق يصبح هذا الاتفاق ملزما واجبا للتنفيذ، وتنتهي في تاريخ اتفاق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الطرفين على التسوية، وذكرت المادة (11) قانون الأونيسترال النموذجي للتوفيق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التجاري الفقرة (أ) بأنه : " تنتهي إجراءات التوفيق بإبرام الطرفين اتفاق تسوية , في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تاريخ إبرام الاتفاق 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39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 ".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u w:val="single"/>
          <w:rFonts w:ascii="Traditional Arabic" w:eastAsia="Traditional Arabic" w:hAnsi="Traditional Arabic" w:hint="default"/>
        </w:rPr>
        <w:t>ثانيها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:  إصدار الموفق قراراً بفشل محاولة التوفيق، فعندما يتأكد للموفق أنه من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الصعب الوصول إلى ترضية ودية للنزاع المثار بين الأطراف، فإنه من الضروري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عدم الاستمرار في تلك المحاولة وإضاعة الوقت طالما أن النتيجة أصبحت معروفة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ومؤكدة, ولاشك أنه توجد العديد من الأسباب والدلائل التي تدفع الطرف المحايد إلى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إصدار هذا القرار، إلا أنه يبرز من بينها عدم تعاون الأطراف، وعدم وإظهار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الرغبة الصادقة في التوصل إلى تسوية ودية للنزاع، فالالتزام بالتعاون يعد أحد أهم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العوامل التي تساعد على نجاح محاولة المصالحة، ويبدو هذا الالتزام بوضوح عندما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يقوم كل طرف بتحديد أغراضه وأهدافه من تلك المحاولة, ويؤكد ذلك المادة (11)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من قانون الأونيسترال النموذجي للتوفيق التجاري الفقرة (ب) بأنه : " بإصدار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الموفق, بعد التشاور مع الطرفين , اعلانا يبين أنه لايوجد مايسوغ القيام بمزيد من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جهود التوفيق , في تاريخ صدور الإعلان 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40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 ".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u w:val="single"/>
          <w:rFonts w:ascii="Traditional Arabic" w:eastAsia="Traditional Arabic" w:hAnsi="Traditional Arabic" w:hint="default"/>
        </w:rPr>
        <w:t>ثالثها</w:t>
      </w:r>
      <w:r>
        <w:rPr>
          <w:rtl/>
          <w:color w:val="auto"/>
          <w:position w:val="0"/>
          <w:sz w:val="32"/>
          <w:szCs w:val="32"/>
          <w:u w:val="single"/>
          <w:rFonts w:ascii="Traditional Arabic" w:eastAsia="Traditional Arabic" w:hAnsi="Traditional Arabic" w:hint="default"/>
        </w:rPr>
        <w:t>: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  إخبار الطرف المحايد من قبل الأطراف، أو أحدهم في أي مرحلة من مراحل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التسوية بنيته في عدم مواصلة المحاولة، فإعلام الموفق بهذه الرغبة يقضي على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الأمل في إزالة أسباب الخلاف وإعادة العلاقات بين الأطراف إلى مجراها الطبيعي ,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ويؤكد ذلك المادة (11) من قانون الأونيسترال النموذجي للتوفيق التجاري الفقرة (ب)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 (ج) بأنه : " تنهى إجراءات التوفيق : (ج) بإصدار الطرفين إعلاناً موجهاً إلى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الموفق يفيد بإنهاء إجراءات التوفيق , في تاريخ صدور الإعلان , او (د) بإصدار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أحد الطرفين إعلانا موجها غلى الطرف الاخر او الاطراف الاخرى وإلى الموفق ,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في حال تعيينه , يفيد بإنهاء إجراءات التوفيق , في تاريخ صدور الاعلان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 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41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 ".</w:t>
      </w:r>
    </w:p>
    <w:p>
      <w:pPr>
        <w:pStyle w:val="PO26"/>
        <w:bidi w:val="0"/>
        <w:numPr>
          <w:ilvl w:val="0"/>
          <w:numId w:val="3"/>
        </w:numPr>
        <w:jc w:val="both"/>
        <w:spacing w:lineRule="auto" w:line="275" w:before="0" w:after="200"/>
        <w:contextualSpacing w:val="1"/>
        <w:ind w:left="1440" w:right="0" w:hanging="360"/>
        <w:rPr>
          <w:color w:val="auto"/>
          <w:position w:val="0"/>
          <w:sz w:val="32"/>
          <w:szCs w:val="32"/>
          <w:rFonts w:ascii="Calibri" w:eastAsia="Calibri" w:hAnsi="Calibri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t xml:space="preserve"> القوة الإلزامية للتوصية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Calibri" w:eastAsia="Calibri" w:hAnsi="Calibri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إن طبيعة توصية التوفيق لا تتمتع بأية قوة إلزامية في حالة عدم قبولها، ويكون أثرها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القانوني معنويا استشاريا لا يتمتع بأية صفة قضائية أو غير قضائية، لأن أساسها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سلطان الإرادة من طرفي النزاع، وهي لا تعد قرارا ولا حكما، ولا تكون لها حجية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الأمر المقضي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42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.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Calibri" w:eastAsia="Calibri" w:hAnsi="Calibri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أما في حالة توقيع طرفي النزاع على التوصية وقيام الموفق بتصديقها من القاضي،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فإنها تتمتع بالقوة الملزمة للعقد، ، وعلى ذلك يتأسس التزام طرفي النزاع بالتوصية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وتنفيذها على مبدأ القوة الملزمة للعقد بعد توقيعها من طرفي النزاع وتصديقها من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القاضي المختص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43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.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أما مسألة نفاذ اتفاق التسوية فذكرته المادة (14) من قانون الأونيسترال النموذجي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للتوفيق التجاري بأنه : " إذا أبرم الطرفان اتفاقا يسوي النزاع كان ذلك الاتفاق ملزما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وواجب النفاذ</w:t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(</w:t>
      </w:r>
      <w:r>
        <w:rPr>
          <w:rtl/>
          <w:rStyle w:val="PO154"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footnoteReference w:id="44"/>
      </w:r>
      <w:r>
        <w:rPr>
          <w:rtl/>
          <w:vertAlign w:val="subscript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)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 " .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Calibri" w:eastAsia="Calibri" w:hAnsi="Calibri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Calibri" w:eastAsia="Calibri" w:hAnsi="Calibri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Calibri" w:eastAsia="Calibri" w:hAnsi="Calibri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الخاتمة 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إن التوفيق من الوسائل البديلة في حل المنازعات بين الأطراف وهي فكرة قديمة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عرفتها الشعوب منذ تاريخ ٍ قديم جدا ً, لكن فقهاء القانون الحديث خصوصا في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الولايات المتحدة الأمريكية حولوها إلى فكرة مرنة قابلة للتطوير والتعديل بما يخدم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أطراف النزاع من جهة، ويخدم رفع الضغط عن المحاكم من خلال تقليل الدعاوى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التي يرفعها الناس يوميا إلى القضاة من جة أخري.  هذه الفكرة قائمة على تقليل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التكاليف المالية, السرعة في حل النزاع , والسرية بما يحفظ أسرار الخصوم – وفي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الثلاثين سنة الماضية اهتمت الجامعات الأمريكية بتدريس وتطوير الوسائل البديلة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في حل المنازعات، وأصبحت الولايات المتحدة الأمريكية هي الرائدة في هذا المجال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القانوني .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  كذلك فإن المهم في استخدام وسيلة التوفيق في حل النزاعات سيرفع عن كاهل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القضاء الكثير من الدعاوى التي يمكن حلها بعيداً عن المحاكم, وبذلك سيوفر الوقت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الكافي للقضاة في تطوير عمل المحاكم من جهة و استخدام الوقت في إصدار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أحكامهم في القضايا المهمة الأخرى من جهة ثانية </w:t>
      </w:r>
      <w:r>
        <w:rPr>
          <w:rtl/>
          <w:color w:val="222222"/>
          <w:position w:val="0"/>
          <w:sz w:val="32"/>
          <w:szCs w:val="32"/>
          <w:rFonts w:ascii="Traditional Arabic" w:eastAsia="Traditional Arabic" w:hAnsi="Traditional Arabic" w:hint="default"/>
        </w:rPr>
        <w:t>و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إن تطوير الوسائل البديلة لتسوية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النزاعات هو أكثر من تطوير فــي الأسلوب، إنه يظهر في الواقع الحاجة إلى تغيير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عميق في النظام القضائي المعاصر، ينقلنا هذا التغيير من القانون المفروض إلى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القانون القابل للمفاوضة، وهذا يعتبر نهاية للدولة صاحبة النفوذ القوي التي تكون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فيها القوانين والأنظمة الوسائل الوحيدة والمفضلة لتسوية النزاعات، فنحن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أصبحنا نعيش في عالم يعطي أهمية كبرى للعقد.</w:t>
      </w:r>
    </w:p>
    <w:p>
      <w:pPr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color w:val="auto"/>
          <w:position w:val="0"/>
          <w:sz w:val="20"/>
          <w:szCs w:val="20"/>
          <w:rFonts w:ascii="Arial" w:eastAsia="Arial" w:hAnsi="Arial" w:hint="default"/>
        </w:rPr>
        <w:wordWrap w:val="off"/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b w:val="1"/>
          <w:color w:val="222222"/>
          <w:position w:val="0"/>
          <w:sz w:val="32"/>
          <w:szCs w:val="32"/>
          <w:rFonts w:ascii="Calibri" w:eastAsia="Calibri" w:hAnsi="Calibri" w:hint="default"/>
        </w:rPr>
        <w:autoSpaceDE w:val="1"/>
        <w:autoSpaceDN w:val="1"/>
      </w:pPr>
      <w:r>
        <w:rPr>
          <w:rtl/>
          <w:b w:val="1"/>
          <w:color w:val="222222"/>
          <w:position w:val="0"/>
          <w:sz w:val="32"/>
          <w:szCs w:val="32"/>
          <w:rFonts w:ascii="Calibri" w:eastAsia="Calibri" w:hAnsi="Calibri" w:hint="default"/>
        </w:rPr>
        <w:t xml:space="preserve">التوصيات 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rStyle w:val="PO156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222222"/>
          <w:position w:val="0"/>
          <w:sz w:val="32"/>
          <w:szCs w:val="32"/>
          <w:rFonts w:ascii="Calibri" w:eastAsia="Calibri" w:hAnsi="Calibri" w:hint="default"/>
        </w:rPr>
        <w:t xml:space="preserve">١/ </w:t>
      </w:r>
      <w:r>
        <w:rPr>
          <w:rtl/>
          <w:rStyle w:val="PO156"/>
          <w:b w:val="0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تعميم وتبسيط إجراءات التوفيق  والوساطة  والإجراءات الودية والتظلم المسبق</w:t>
      </w:r>
      <w:r>
        <w:rPr>
          <w:rStyle w:val="PO156"/>
          <w:b w:val="0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.</w:t>
      </w:r>
      <w:r>
        <w:rPr>
          <w:rtl/>
          <w:rStyle w:val="PO156"/>
          <w:b w:val="0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br/>
      </w:r>
      <w:r>
        <w:rPr>
          <w:rtl/>
          <w:rStyle w:val="PO156"/>
          <w:b w:val="0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٢/ تحديد إجراءات التوفيق و الوساطة وهيئاتها ومنحها سلطات واسعة للنظر في </w:t>
      </w:r>
      <w:r>
        <w:rPr>
          <w:rtl/>
          <w:rStyle w:val="PO156"/>
          <w:b w:val="0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المنازعات التجارية و ايضاً المدنية والإدارية مع توسيع مجالاتهما وموازاة مع ذلك </w:t>
      </w:r>
      <w:r>
        <w:rPr>
          <w:rtl/>
          <w:rStyle w:val="PO156"/>
          <w:b w:val="0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حث المتنازعين على اللجوء إلى هذا الإجراء في جميع مراحل الدعوى</w:t>
      </w:r>
      <w:r>
        <w:rPr>
          <w:rStyle w:val="PO156"/>
          <w:b w:val="0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.</w:t>
      </w:r>
      <w:r>
        <w:rPr>
          <w:rtl/>
          <w:rStyle w:val="PO156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الدعو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rStyle w:val="PO156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٣ / تشجيع اللجوء إلى الوسائل البديلة لحل النزاع  كآلية أساسية لحل النزاعات </w:t>
      </w:r>
      <w:r>
        <w:rPr>
          <w:rtl/>
          <w:rStyle w:val="PO156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التجارية</w:t>
      </w:r>
      <w:r>
        <w:rPr>
          <w:rStyle w:val="PO156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>.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(التوفيق – الوساطة – الصلح – المفاوضة – المساعي الحميدة ).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٤/ توعية المعنيين كالمتقاضين والمحامين والوسطاء  والموفقين بفوائد الحلول </w:t>
      </w: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البديلة، وتزويدهم بالمعلومات والإجراءات المطلوب اللجوء إليها.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autoSpaceDE w:val="1"/>
        <w:autoSpaceDN w:val="1"/>
      </w:pPr>
      <w:r>
        <w:rPr>
          <w:rtl/>
          <w:b w:val="1"/>
          <w:color w:val="222222"/>
          <w:position w:val="0"/>
          <w:sz w:val="32"/>
          <w:szCs w:val="32"/>
          <w:rFonts w:ascii="Calibri" w:eastAsia="Calibri" w:hAnsi="Calibri" w:hint="default"/>
        </w:rPr>
        <w:t xml:space="preserve">النتائج 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t xml:space="preserve"> من خلال من تم سرده نستنتج الآتي :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t xml:space="preserve">١/ هنالك نوعان من التوفيق  الاول توفيق رضائي  والاخر توفيق قضائي. . 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t xml:space="preserve">٢/  هنالك فرق بين التوفيق والتحكيم. 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t xml:space="preserve">٣/ التزامات الموفق تختلف عن التزامات المحكم 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rFonts w:ascii="Calibri" w:eastAsia="Calibri" w:hAnsi="Calibri" w:hint="default"/>
        </w:rPr>
        <w:t xml:space="preserve">المراجع العربية </w:t>
      </w:r>
    </w:p>
    <w:p>
      <w:pPr>
        <w:pStyle w:val="PO26"/>
        <w:bidi w:val="0"/>
        <w:numPr>
          <w:ilvl w:val="0"/>
          <w:numId w:val="11"/>
        </w:numPr>
        <w:jc w:val="right"/>
        <w:spacing w:lineRule="auto" w:line="240" w:before="0" w:after="200"/>
        <w:contextualSpacing w:val="1"/>
        <w:ind w:left="1080" w:right="0" w:hanging="360"/>
        <w:rPr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أ.د/ أحمد أبو الوفا، ا</w:t>
      </w:r>
      <w:r>
        <w:rPr>
          <w:rtl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لتحكيم الاختياري والتحكيم الإجباري، منشأة المعارف </w:t>
      </w:r>
      <w:r>
        <w:rPr>
          <w:rtl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الإسكندرية ،</w:t>
      </w:r>
      <w:r>
        <w:rPr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 1988 </w:t>
      </w:r>
    </w:p>
    <w:p>
      <w:pPr>
        <w:bidi w:val="1"/>
        <w:numPr>
          <w:ilvl w:val="0"/>
          <w:numId w:val="0"/>
        </w:numPr>
        <w:jc w:val="left"/>
        <w:spacing w:lineRule="auto" w:line="240" w:before="0" w:after="200"/>
        <w:ind w:right="720" w:left="0" w:firstLine="0"/>
        <w:rPr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أ.د/ أحمد عبد الكريم سلامه .</w:t>
      </w:r>
      <w:r>
        <w:rPr>
          <w:rtl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ا لنظرية العامة للنظم الودية لتسوية المنازعات </w:t>
      </w:r>
      <w:r>
        <w:rPr>
          <w:rtl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(المفاوضات – الوساطة – التوفيق – الصلح ) بديلا عن المعترك القضائي , , دار </w:t>
      </w:r>
      <w:r>
        <w:rPr>
          <w:rtl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النهضة العربية ,2013.</w:t>
      </w:r>
    </w:p>
    <w:p>
      <w:pPr>
        <w:pStyle w:val="PO26"/>
        <w:bidi w:val="0"/>
        <w:numPr>
          <w:ilvl w:val="0"/>
          <w:numId w:val="7"/>
        </w:numPr>
        <w:jc w:val="right"/>
        <w:spacing w:lineRule="auto" w:line="275" w:before="0" w:after="200"/>
        <w:ind w:left="1080" w:right="0" w:hanging="360"/>
        <w:rPr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قانون التحكيم التجاري الدولي والداخلي " تنظير وتطبيق مقارن " بدون ناشر 2003.</w:t>
      </w:r>
    </w:p>
    <w:p>
      <w:pPr>
        <w:bidi w:val="1"/>
        <w:numPr>
          <w:ilvl w:val="0"/>
          <w:numId w:val="0"/>
        </w:numPr>
        <w:jc w:val="left"/>
        <w:spacing w:lineRule="auto" w:line="240" w:before="0" w:after="200"/>
        <w:ind w:right="720" w:left="0" w:firstLine="0"/>
        <w:rPr>
          <w:rtl/>
          <w:b w:val="1"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أ. د / الخير قشي </w:t>
      </w:r>
      <w:r>
        <w:rPr>
          <w:rtl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،   الوسائل التحاكمية وغير التحاكمية لتسوية المنازعات الدولية , </w:t>
      </w:r>
      <w:r>
        <w:rPr>
          <w:rtl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المؤسسة  الجامعية للدراسات والنشر والتوزيع, 1999</w:t>
      </w:r>
      <w:r>
        <w:rPr>
          <w:rtl/>
          <w:b w:val="1"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.  </w:t>
      </w:r>
    </w:p>
    <w:p>
      <w:pPr>
        <w:pStyle w:val="PO26"/>
        <w:bidi w:val="0"/>
        <w:numPr>
          <w:ilvl w:val="0"/>
          <w:numId w:val="12"/>
        </w:numPr>
        <w:jc w:val="right"/>
        <w:spacing w:lineRule="auto" w:line="240" w:before="0" w:after="200"/>
        <w:contextualSpacing w:val="1"/>
        <w:ind w:left="1080" w:right="0" w:hanging="360"/>
        <w:rPr>
          <w:b w:val="1"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          د/ خيري عبدالفتاح البتاتوني،</w:t>
      </w:r>
      <w:r>
        <w:rPr>
          <w:b w:val="1"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 </w:t>
      </w:r>
    </w:p>
    <w:p>
      <w:pPr>
        <w:pStyle w:val="PO26"/>
        <w:bidi w:val="0"/>
        <w:numPr>
          <w:ilvl w:val="0"/>
          <w:numId w:val="12"/>
        </w:numPr>
        <w:jc w:val="right"/>
        <w:spacing w:lineRule="auto" w:line="240" w:before="0" w:after="200"/>
        <w:contextualSpacing w:val="1"/>
        <w:ind w:left="1080" w:right="0" w:hanging="360"/>
        <w:rPr>
          <w:b w:val="1"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 </w:t>
      </w:r>
      <w:r>
        <w:rPr>
          <w:rtl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الوساطة " كوسيلة بديلة لفض المنازعات المدنية والتجارية" ,الطبعة الثانية, دار </w:t>
      </w:r>
      <w:r>
        <w:rPr>
          <w:rtl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النهضة العربية, 2012.</w:t>
      </w:r>
    </w:p>
    <w:p>
      <w:pPr>
        <w:pStyle w:val="PO26"/>
        <w:bidi w:val="0"/>
        <w:numPr>
          <w:ilvl w:val="0"/>
          <w:numId w:val="7"/>
        </w:numPr>
        <w:jc w:val="right"/>
        <w:spacing w:lineRule="auto" w:line="240" w:before="0" w:after="200"/>
        <w:contextualSpacing w:val="1"/>
        <w:ind w:left="1080" w:right="0" w:hanging="360"/>
        <w:rPr>
          <w:b w:val="1"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أ.د/عبد الحميد الشواربي </w:t>
      </w:r>
      <w:r>
        <w:rPr>
          <w:rtl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التحكيم والتصالح في ضوء الفقه والقضاء ,الطبعة </w:t>
      </w:r>
      <w:r>
        <w:rPr>
          <w:rtl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الثانية ,منشأة المعارف بالإسكندرية, 1988. </w:t>
      </w:r>
    </w:p>
    <w:p>
      <w:pPr>
        <w:pStyle w:val="PO26"/>
        <w:bidi w:val="0"/>
        <w:numPr>
          <w:ilvl w:val="0"/>
          <w:numId w:val="7"/>
        </w:numPr>
        <w:jc w:val="right"/>
        <w:spacing w:lineRule="auto" w:line="240" w:before="0" w:after="200"/>
        <w:contextualSpacing w:val="1"/>
        <w:ind w:left="1080" w:right="0" w:hanging="360"/>
        <w:rPr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د/ علاء أباريان، </w:t>
      </w:r>
      <w:r>
        <w:rPr>
          <w:rtl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الوسائل البديلة لحل النزاعات التجارية " دراسة مقارنة " , </w:t>
      </w:r>
      <w:r>
        <w:rPr>
          <w:rtl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منشورات الحلبي الحقوقية 2008</w:t>
      </w:r>
      <w:r>
        <w:rPr>
          <w:rtl/>
          <w:b w:val="1"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 </w:t>
      </w:r>
      <w:r>
        <w:rPr>
          <w:rtl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. </w:t>
      </w:r>
    </w:p>
    <w:p>
      <w:pPr>
        <w:pStyle w:val="PO26"/>
        <w:bidi w:val="0"/>
        <w:numPr>
          <w:ilvl w:val="0"/>
          <w:numId w:val="7"/>
        </w:numPr>
        <w:jc w:val="right"/>
        <w:spacing w:lineRule="auto" w:line="240" w:before="0" w:after="200"/>
        <w:contextualSpacing w:val="1"/>
        <w:ind w:left="1080" w:right="0" w:hanging="360"/>
        <w:rPr>
          <w:b w:val="1"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د/علي عوض حسن ، </w:t>
      </w:r>
      <w:r>
        <w:rPr>
          <w:rtl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التعليق على القانون رقم 7 لسنة 2000 بشأن التوفيق في </w:t>
      </w:r>
      <w:r>
        <w:rPr>
          <w:rtl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المنازعات, دار المطبوعات الجامعية, 2001</w:t>
      </w:r>
    </w:p>
    <w:p>
      <w:pPr>
        <w:pStyle w:val="PO26"/>
        <w:bidi w:val="0"/>
        <w:numPr>
          <w:ilvl w:val="0"/>
          <w:numId w:val="7"/>
        </w:numPr>
        <w:jc w:val="right"/>
        <w:spacing w:lineRule="auto" w:line="240" w:before="0" w:after="200"/>
        <w:contextualSpacing w:val="1"/>
        <w:ind w:left="1080" w:right="0" w:hanging="360"/>
        <w:rPr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 </w:t>
      </w:r>
    </w:p>
    <w:p>
      <w:pPr>
        <w:pStyle w:val="PO26"/>
        <w:bidi w:val="0"/>
        <w:numPr>
          <w:ilvl w:val="0"/>
          <w:numId w:val="7"/>
        </w:numPr>
        <w:jc w:val="right"/>
        <w:spacing w:lineRule="auto" w:line="240" w:before="0" w:after="200"/>
        <w:contextualSpacing w:val="1"/>
        <w:ind w:left="1080" w:right="0" w:hanging="360"/>
        <w:rPr>
          <w:b w:val="1"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د/ محمد إبراهيم موسى</w:t>
      </w:r>
      <w:r>
        <w:rPr>
          <w:rtl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التوفيق التجاري الدولي (وتغير النظرة السائدة حول سبل </w:t>
      </w:r>
      <w:r>
        <w:rPr>
          <w:rtl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تسوية منازعات التجارة الدولية ), دار الجامعة الجديدة للنشر 2005 .</w:t>
      </w:r>
      <w:r>
        <w:rPr>
          <w:b w:val="1"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  </w:t>
      </w:r>
    </w:p>
    <w:p>
      <w:pPr>
        <w:pStyle w:val="PO26"/>
        <w:bidi w:val="0"/>
        <w:numPr>
          <w:ilvl w:val="0"/>
          <w:numId w:val="7"/>
        </w:numPr>
        <w:jc w:val="right"/>
        <w:spacing w:lineRule="auto" w:line="240" w:before="0" w:after="200"/>
        <w:contextualSpacing w:val="1"/>
        <w:ind w:left="1080" w:right="0" w:hanging="360"/>
        <w:rPr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7"/>
        </w:numPr>
        <w:jc w:val="right"/>
        <w:spacing w:lineRule="auto" w:line="275" w:before="0" w:after="200"/>
        <w:contextualSpacing w:val="1"/>
        <w:ind w:left="1080" w:right="0" w:hanging="360"/>
        <w:rPr>
          <w:rtl/>
          <w:b w:val="1"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د/  مصطفى المتولى قنديل </w:t>
      </w:r>
      <w:r>
        <w:rPr>
          <w:rtl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دور الأطراف في تسوية المنازعات العقدية , دار </w:t>
      </w:r>
      <w:r>
        <w:rPr>
          <w:rtl/>
          <w:color w:val="auto"/>
          <w:position w:val="0"/>
          <w:sz w:val="28"/>
          <w:szCs w:val="28"/>
          <w:rFonts w:ascii="Traditional Arabic" w:eastAsia="Traditional Arabic" w:hAnsi="Traditional Arabic" w:hint="default"/>
        </w:rPr>
        <w:t xml:space="preserve">الجامعة الجديدة للنشر , .</w:t>
      </w:r>
    </w:p>
    <w:p>
      <w:pPr>
        <w:bidi w:val="1"/>
        <w:numPr>
          <w:ilvl w:val="0"/>
          <w:numId w:val="0"/>
        </w:numPr>
        <w:jc w:val="left"/>
        <w:spacing w:lineRule="auto" w:line="240" w:before="0" w:after="200"/>
        <w:ind w:right="720" w:left="0" w:firstLine="0"/>
        <w:rPr>
          <w:rtl/>
          <w:b w:val="1"/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28"/>
          <w:szCs w:val="28"/>
          <w:rFonts w:ascii="Calibri" w:eastAsia="Calibri" w:hAnsi="Calibri" w:hint="default"/>
        </w:rPr>
        <w:t xml:space="preserve">المراجع الاجنبية ومواقع الانترنت :</w:t>
      </w:r>
    </w:p>
    <w:p>
      <w:pPr>
        <w:bidi w:val="1"/>
        <w:numPr>
          <w:ilvl w:val="0"/>
          <w:numId w:val="0"/>
        </w:numPr>
        <w:jc w:val="right"/>
        <w:spacing w:lineRule="auto" w:line="240" w:before="0" w:after="200"/>
        <w:ind w:left="0" w:firstLine="0"/>
        <w:rPr>
          <w:rtl/>
          <w:color w:val="auto"/>
          <w:position w:val="0"/>
          <w:sz w:val="22"/>
          <w:szCs w:val="22"/>
          <w:rFonts w:ascii="Cambria" w:eastAsia="Traditional Arabic" w:hAnsi="Traditional Arabic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mbria" w:eastAsia="Calibri" w:hAnsi="Calibri" w:hint="default"/>
        </w:rPr>
        <w:t xml:space="preserve">- Law on Intemational Commercial Conciliation(2002), United Nations </w:t>
      </w:r>
      <w:r>
        <w:rPr>
          <w:color w:val="auto"/>
          <w:position w:val="0"/>
          <w:sz w:val="24"/>
          <w:szCs w:val="24"/>
          <w:rFonts w:ascii="Cambria" w:eastAsia="Calibri" w:hAnsi="Calibri" w:hint="default"/>
        </w:rPr>
        <w:t xml:space="preserve">Publication </w:t>
      </w:r>
      <w:r>
        <w:rPr>
          <w:rtl/>
          <w:color w:val="auto"/>
          <w:position w:val="0"/>
          <w:sz w:val="24"/>
          <w:szCs w:val="24"/>
          <w:rFonts w:ascii="Cambria" w:eastAsia="Calibri" w:hAnsi="Calibri" w:hint="default"/>
        </w:rPr>
        <w:t xml:space="preserve"> -  </w:t>
      </w:r>
      <w:r>
        <w:rPr>
          <w:color w:val="auto"/>
          <w:position w:val="0"/>
          <w:sz w:val="24"/>
          <w:szCs w:val="24"/>
          <w:rFonts w:ascii="Cambria" w:eastAsia="Calibri" w:hAnsi="Calibri" w:hint="default"/>
        </w:rPr>
        <w:t xml:space="preserve">UVCITRAL  Model</w:t>
      </w:r>
    </w:p>
    <w:p>
      <w:pPr>
        <w:pStyle w:val="PO26"/>
        <w:bidi w:val="1"/>
        <w:numPr>
          <w:ilvl w:val="0"/>
          <w:numId w:val="0"/>
        </w:numPr>
        <w:jc w:val="right"/>
        <w:spacing w:lineRule="auto" w:line="275" w:before="0" w:after="200"/>
        <w:contextualSpacing w:val="1"/>
        <w:ind w:right="1080" w:left="0" w:firstLine="0"/>
        <w:rPr>
          <w:color w:val="auto"/>
          <w:position w:val="0"/>
          <w:sz w:val="22"/>
          <w:szCs w:val="22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mbria" w:eastAsia="Calibri" w:hAnsi="Calibri" w:hint="default"/>
        </w:rPr>
        <w:t xml:space="preserve">- Diaz, Luis Miguel, Mediation Year 2051?, 56 Dis. Res. J. 24, 2001, </w:t>
      </w:r>
      <w:r>
        <w:rPr>
          <w:color w:val="auto"/>
          <w:position w:val="0"/>
          <w:sz w:val="24"/>
          <w:szCs w:val="24"/>
          <w:rFonts w:ascii="Cambria" w:eastAsia="Calibri" w:hAnsi="Calibri" w:hint="default"/>
        </w:rPr>
        <w:t xml:space="preserve">article ,</w:t>
      </w:r>
      <w:hyperlink r:id="rId7">
        <w:r>
          <w:rPr>
            <w:rStyle w:val="PO155"/>
            <w:color w:val="0000FF"/>
            <w:position w:val="0"/>
            <w:sz w:val="22"/>
            <w:szCs w:val="22"/>
            <w:u w:val="single"/>
            <w:rFonts w:ascii="Cambria" w:eastAsia="Calibri" w:hAnsi="Calibri" w:hint="default"/>
          </w:rPr>
          <w:t>http://search.proquest.com</w:t>
        </w:r>
      </w:hyperlink>
      <w:r>
        <w:rPr>
          <w:color w:val="auto"/>
          <w:position w:val="0"/>
          <w:sz w:val="22"/>
          <w:szCs w:val="22"/>
          <w:rFonts w:ascii="Calibri" w:eastAsia="Calibri" w:hAnsi="Calibri" w:hint="default"/>
        </w:rPr>
        <w:t>.</w:t>
      </w:r>
    </w:p>
    <w:p>
      <w:pPr>
        <w:pStyle w:val="PO26"/>
        <w:bidi w:val="1"/>
        <w:numPr>
          <w:ilvl w:val="0"/>
          <w:numId w:val="0"/>
        </w:numPr>
        <w:jc w:val="right"/>
        <w:spacing w:lineRule="auto" w:line="275" w:before="0" w:after="200"/>
        <w:contextualSpacing w:val="1"/>
        <w:ind w:right="1080" w:left="0" w:firstLine="0"/>
        <w:rPr>
          <w:color w:val="auto"/>
          <w:position w:val="0"/>
          <w:sz w:val="22"/>
          <w:szCs w:val="22"/>
          <w:rFonts w:ascii="Calibri" w:eastAsia="Calibri" w:hAnsi="Calibri" w:hint="default"/>
        </w:rPr>
        <w:autoSpaceDE w:val="1"/>
        <w:autoSpaceDN w:val="1"/>
      </w:pPr>
    </w:p>
    <w:p>
      <w:pPr>
        <w:pStyle w:val="PO26"/>
        <w:bidi w:val="1"/>
        <w:numPr>
          <w:ilvl w:val="0"/>
          <w:numId w:val="0"/>
        </w:numPr>
        <w:jc w:val="right"/>
        <w:spacing w:lineRule="auto" w:line="275" w:before="0" w:after="200"/>
        <w:contextualSpacing w:val="1"/>
        <w:ind w:right="1080" w:left="0" w:firstLine="0"/>
        <w:rPr>
          <w:rtl/>
          <w:color w:val="auto"/>
          <w:position w:val="0"/>
          <w:sz w:val="22"/>
          <w:szCs w:val="22"/>
          <w:rFonts w:ascii="Calibri" w:eastAsia="Calibri" w:hAnsi="Calibri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center"/>
        <w:spacing w:lineRule="auto" w:line="275" w:before="0" w:after="200"/>
        <w:ind w:left="0" w:firstLine="0"/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b w:val="1"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الفهرس 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مقدمة البحث                                                   ص 2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اهداف البحث                                                 ص  2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مشكلة البحث وفروض وتساؤلات البحث                       ص3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طريقة منهج البحث                                              ص3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الفصل الأول : التوفيق التجاري                                  ص4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المحبث الاول : ماهية التوفيق التجاري                            ص4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المحبث الثاني : أشكال السند القضائي للتوفيق                   ص7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المحبث الثالث : التمييز بين التوفيق والتحكيم                    ص9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المبحث الرابع : التزامات وحقوق الموفق                         ص10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المبحث الخامس  : سير عملية التوفيق                          ص12 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التوصيات                                                      ص17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الخلاصة                                                        ص17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مستخلص البحث                                             ص18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المراجع                                                         ص19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  <w:r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t xml:space="preserve">الفهرس                                                        ص20</w:t>
      </w: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right="720" w:left="0" w:firstLine="0"/>
        <w:rPr>
          <w:rtl/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right="720" w:left="0" w:firstLine="0"/>
        <w:rPr>
          <w:rtl/>
          <w:color w:val="auto"/>
          <w:position w:val="0"/>
          <w:sz w:val="28"/>
          <w:szCs w:val="28"/>
          <w:rFonts w:ascii="Calibri" w:eastAsia="Calibri" w:hAnsi="Calibri" w:hint="default"/>
        </w:rPr>
        <w:autoSpaceDE w:val="1"/>
        <w:autoSpaceDN w:val="1"/>
      </w:pPr>
    </w:p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rtl/>
          <w:color w:val="auto"/>
          <w:position w:val="0"/>
          <w:sz w:val="32"/>
          <w:szCs w:val="32"/>
          <w:rFonts w:ascii="Traditional Arabic" w:eastAsia="Traditional Arabic" w:hAnsi="Traditional Arabic" w:hint="default"/>
        </w:rPr>
        <w:autoSpaceDE w:val="1"/>
        <w:autoSpaceDN w:val="1"/>
      </w:pPr>
    </w:p>
    <w:sectPr>
      <w:bidi/>
      <w:type w:val="continuous"/>
      <w:footnotePr>
        <w:numFmt w:val="decimal"/>
        <w:numRestart w:val="eachPage"/>
        <w:numStart w:val="1"/>
        <w:pos w:val="pageBottom"/>
      </w:footnotePr>
      <w:pgSz w:w="11906" w:h="16838"/>
      <w:pgMar w:top="1440" w:left="1800" w:bottom="1440" w:right="180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raditional Arab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ymbo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9"/>
      <w:bidi w:val="1"/>
      <w:numPr>
        <w:ilvl w:val="0"/>
        <w:numId w:val="0"/>
      </w:numPr>
      <w:jc w:val="left"/>
      <w:spacing w:lineRule="auto" w:line="240" w:before="0" w:after="0"/>
      <w:ind w:left="0" w:firstLine="0"/>
      <w:tabs>
        <w:tab w:val="center" w:pos="4153"/>
        <w:tab w:val="center" w:pos="4153"/>
        <w:tab w:val="center" w:pos="4153"/>
        <w:tab w:val="center" w:pos="4153"/>
        <w:tab w:val="right" w:pos="8306"/>
        <w:tab w:val="right" w:pos="8306"/>
        <w:tab w:val="right" w:pos="8306"/>
        <w:tab w:val="right" w:pos="8306"/>
      </w:tabs>
      <w:rPr>
        <w:color w:val="auto"/>
        <w:position w:val="0"/>
        <w:sz w:val="22"/>
        <w:szCs w:val="22"/>
        <w:rFonts w:ascii="Calibri" w:eastAsia="Calibri" w:hAnsi="Calibri" w:hint="default"/>
      </w:rPr>
      <w:autoSpaceDE w:val="1"/>
      <w:autoSpaceDN w:val="1"/>
    </w:pPr>
    <w:r>
      <w:rPr>
        <w:sz w:val="20"/>
      </w:rPr>
      <w:pict>
        <v:shapetype id="_x0000_t202" coordsize="21600,21600" o:spt="202" o:preferrelative="t" path="m,l,21600r21600,l21600,xe">
          <v:stroke joinstyle="miter"/>
        </v:shapetype>
        <v:shape id="_x0000_s3" type="#_x0000_t202" style="position:absolute;left:0;margin-left:0pt;mso-position-horizontal:center;mso-position-horizontal-relative:left-margin-area;margin-top:0pt;mso-position-vertical:top;mso-position-vertical-relative:bottom-margin-area;width:60.0pt;height:70.5pt;z-index:251624960" stroked="f" fillcolor="white" filled="t">
          <v:textbox style="" inset="7pt,4pt,7pt,4pt">
            <w:txbxContent>
              <w:p>
                <w:pPr>
                  <w:bidi w:val="1"/>
                  <w:numPr>
                    <w:ilvl w:val="0"/>
                    <w:numId w:val="0"/>
                  </w:numPr>
                  <w:jc w:val="center"/>
                  <w:spacing w:lineRule="auto" w:line="275" w:before="0" w:after="200"/>
                  <w:ind w:left="0" w:firstLine="0"/>
                  <w:rPr>
                    <w:color w:val="auto"/>
                    <w:position w:val="0"/>
                    <w:sz w:val="48"/>
                    <w:szCs w:val="48"/>
                    <w:rFonts w:ascii="Cambria" w:eastAsia="Cambria" w:hAnsi="Cambria" w:hint="default"/>
                  </w:rPr>
                  <w:autoSpaceDE w:val="1"/>
                  <w:autoSpaceDN w:val="1"/>
                </w:pPr>
                <w:r>
                  <w:rPr>
                    <w:color w:val="auto"/>
                    <w:position w:val="0"/>
                    <w:sz w:val="22"/>
                    <w:szCs w:val="22"/>
                    <w:rFonts w:ascii="Calibri" w:eastAsia="Calibri" w:hAnsi="Calibri" w:hint="default"/>
                  </w:rPr>
                  <w:fldChar w:fldCharType="begin"/>
                </w:r>
                <w:r>
                  <w:instrText>PAGE  \* MERGEFORMAT</w:instrText>
                </w:r>
                <w:r>
                  <w:fldChar w:fldCharType="separate"/>
                </w:r>
                <w:r>
                  <w:rPr>
                    <w:rtl/>
                    <w:color w:val="auto"/>
                    <w:position w:val="0"/>
                    <w:sz w:val="48"/>
                    <w:szCs w:val="48"/>
                    <w:rFonts w:ascii="Cambria" w:eastAsia="Cambria" w:hAnsi="Cambria" w:hint="default"/>
                  </w:rPr>
                  <w:t>25</w:t>
                </w:r>
                <w:r>
                  <w:rPr>
                    <w:color w:val="auto"/>
                    <w:position w:val="0"/>
                    <w:sz w:val="48"/>
                    <w:szCs w:val="48"/>
                    <w:rFonts w:ascii="Cambria" w:eastAsia="Cambria" w:hAnsi="Cambria" w:hint="default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(</w:t>
      </w:r>
      <w:r>
        <w:rPr>
          <w:rStyle w:val="PO154"/>
          <w:vertAlign w:val="superscript"/>
          <w:color w:val="auto"/>
          <w:position w:val="0"/>
          <w:sz w:val="20"/>
          <w:szCs w:val="20"/>
          <w:rFonts w:ascii="Calibri" w:eastAsia="Calibri" w:hAnsi="Calibri" w:hint="default"/>
        </w:rPr>
        <w:footnoteRef/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)Law on Intemational Commercial Conciliation(2002), United Nations Publication ,Part 1  , Article 1 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UVCITRAL  Model</w:t>
      </w:r>
    </w:p>
  </w:footnote>
  <w:footnote w:id="2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(</w:t>
      </w:r>
      <w:r>
        <w:rPr>
          <w:rStyle w:val="PO154"/>
          <w:vertAlign w:val="superscript"/>
          <w:color w:val="auto"/>
          <w:position w:val="0"/>
          <w:sz w:val="20"/>
          <w:szCs w:val="20"/>
          <w:rFonts w:ascii="Calibri" w:eastAsia="Calibri" w:hAnsi="Calibri" w:hint="default"/>
        </w:rPr>
        <w:footnoteRef/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)</w:t>
      </w: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 xml:space="preserve">علاء أبارين , الوسائل البديلة لحل المنازعات التجارية , دراسة مقارنة , منشورات الحلبي الحقوقية , 2008, ص69.</w:t>
      </w:r>
    </w:p>
  </w:footnote>
  <w:footnote w:id="3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(</w:t>
      </w:r>
      <w:r>
        <w:rPr>
          <w:rStyle w:val="PO154"/>
          <w:vertAlign w:val="superscript"/>
          <w:color w:val="auto"/>
          <w:position w:val="0"/>
          <w:sz w:val="20"/>
          <w:szCs w:val="20"/>
          <w:rFonts w:ascii="Calibri" w:eastAsia="Calibri" w:hAnsi="Calibri" w:hint="default"/>
        </w:rPr>
        <w:footnoteRef/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)</w:t>
      </w: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 xml:space="preserve">د/ مصطفى المتولي قنديل , دور الاطراف في تسوية المنازعات العقدية , دار الجامعة الجديدة للنشر,  2005  بند 19  ومابعده , ص </w:t>
      </w: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 xml:space="preserve">58 ومابعدها.</w:t>
      </w:r>
    </w:p>
  </w:footnote>
  <w:footnote w:id="4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(</w:t>
      </w:r>
      <w:r>
        <w:rPr>
          <w:rStyle w:val="PO154"/>
          <w:vertAlign w:val="superscript"/>
          <w:color w:val="auto"/>
          <w:position w:val="0"/>
          <w:sz w:val="20"/>
          <w:szCs w:val="20"/>
          <w:rFonts w:ascii="Calibri" w:eastAsia="Calibri" w:hAnsi="Calibri" w:hint="default"/>
        </w:rPr>
        <w:footnoteRef/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)</w:t>
      </w: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 xml:space="preserve"> د/ احمد عبدالكريم سلامة , النظرية العامة للنظم الودية لتسوية المنازعات ( المفاوضات – الوساطة - التوفيق -  الصلح ) بديلا عن </w:t>
      </w: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 xml:space="preserve">المعترك القضائي , دار النهضة العربية 2013 ص 258.</w:t>
      </w:r>
    </w:p>
  </w:footnote>
  <w:footnote w:id="5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(</w:t>
      </w:r>
      <w:r>
        <w:rPr>
          <w:rStyle w:val="PO154"/>
          <w:vertAlign w:val="superscript"/>
          <w:color w:val="auto"/>
          <w:position w:val="0"/>
          <w:sz w:val="20"/>
          <w:szCs w:val="20"/>
          <w:rFonts w:ascii="Calibri" w:eastAsia="Calibri" w:hAnsi="Calibri" w:hint="default"/>
        </w:rPr>
        <w:footnoteRef/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)</w:t>
      </w: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 xml:space="preserve">المرجع السابق ص 258 و 259.</w:t>
      </w:r>
    </w:p>
  </w:footnote>
  <w:footnote w:id="6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rStyle w:val="PO154"/>
          <w:vertAlign w:val="superscript"/>
          <w:color w:val="auto"/>
          <w:position w:val="0"/>
          <w:sz w:val="20"/>
          <w:szCs w:val="20"/>
          <w:rFonts w:ascii="Calibri" w:eastAsia="Calibri" w:hAnsi="Calibri" w:hint="default"/>
        </w:rPr>
        <w:footnoteRef/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)</w:t>
      </w: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>)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Diaz, Luis Miguel, Mediation Year 2051? , 56 Dis. Res .J.24,2001,article </w:t>
      </w:r>
    </w:p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http;//search.proqest.com </w:t>
      </w:r>
    </w:p>
  </w:footnote>
  <w:footnote w:id="7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rStyle w:val="PO154"/>
          <w:vertAlign w:val="superscript"/>
          <w:color w:val="auto"/>
          <w:position w:val="0"/>
          <w:sz w:val="20"/>
          <w:szCs w:val="20"/>
          <w:rFonts w:ascii="Calibri" w:eastAsia="Calibri" w:hAnsi="Calibri" w:hint="default"/>
        </w:rPr>
        <w:footnoteRef/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)</w:t>
      </w: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 xml:space="preserve">)أ.د / الخير قشي . الوسائل التحاكمية وغير التحاكمية لتسوية المنازعات الدولية , المؤسسة الجامعية للدراسات والنشر والتوزيع , </w:t>
      </w: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 xml:space="preserve">1999 ص29</w:t>
      </w:r>
    </w:p>
  </w:footnote>
  <w:footnote w:id="8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rStyle w:val="PO154"/>
          <w:vertAlign w:val="superscript"/>
          <w:color w:val="auto"/>
          <w:position w:val="0"/>
          <w:sz w:val="20"/>
          <w:szCs w:val="20"/>
          <w:rFonts w:ascii="Calibri" w:eastAsia="Calibri" w:hAnsi="Calibri" w:hint="default"/>
        </w:rPr>
        <w:footnoteRef/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)</w:t>
      </w: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 xml:space="preserve">)أ.د الخير قشي , المرجع السابق ص98.</w:t>
      </w:r>
    </w:p>
  </w:footnote>
  <w:footnote w:id="9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(</w:t>
      </w:r>
      <w:r>
        <w:rPr>
          <w:rStyle w:val="PO154"/>
          <w:vertAlign w:val="superscript"/>
          <w:color w:val="auto"/>
          <w:position w:val="0"/>
          <w:sz w:val="20"/>
          <w:szCs w:val="20"/>
          <w:rFonts w:ascii="Calibri" w:eastAsia="Calibri" w:hAnsi="Calibri" w:hint="default"/>
        </w:rPr>
        <w:footnoteRef/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)</w:t>
      </w: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 xml:space="preserve">أ.د الخير قشي , المرجع السابق ص 179.</w:t>
      </w:r>
    </w:p>
  </w:footnote>
  <w:footnote w:id="10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(</w:t>
      </w:r>
      <w:r>
        <w:rPr>
          <w:rStyle w:val="PO154"/>
          <w:vertAlign w:val="superscript"/>
          <w:color w:val="auto"/>
          <w:position w:val="0"/>
          <w:sz w:val="20"/>
          <w:szCs w:val="20"/>
          <w:rFonts w:ascii="Calibri" w:eastAsia="Calibri" w:hAnsi="Calibri" w:hint="default"/>
        </w:rPr>
        <w:footnoteRef/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)</w:t>
      </w: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 xml:space="preserve">د.محمد ابراهيم موسى , التوفيق التجاري الدولي , وتغيير النظرة السائدة حول سبل تسوية المنازعات التجارية الدولية , دار الجامعة </w:t>
      </w: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 xml:space="preserve">الجديدة للنشر ,2005 , ص63.</w:t>
      </w:r>
    </w:p>
  </w:footnote>
  <w:footnote w:id="11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(</w:t>
      </w:r>
      <w:r>
        <w:rPr>
          <w:rStyle w:val="PO154"/>
          <w:vertAlign w:val="superscript"/>
          <w:color w:val="auto"/>
          <w:position w:val="0"/>
          <w:sz w:val="20"/>
          <w:szCs w:val="20"/>
          <w:rFonts w:ascii="Calibri" w:eastAsia="Calibri" w:hAnsi="Calibri" w:hint="default"/>
        </w:rPr>
        <w:footnoteRef/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)</w:t>
      </w: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 xml:space="preserve">د. عبدالحميد الشواربي – التحكيم والتصالح في ضوء الفقه والقضاء – الطبعة الثانية , منشأة المعرفة  بالاسكندرية 1999,ص21.</w:t>
      </w:r>
    </w:p>
  </w:footnote>
  <w:footnote w:id="12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(</w:t>
      </w:r>
      <w:r>
        <w:rPr>
          <w:rStyle w:val="PO154"/>
          <w:vertAlign w:val="superscript"/>
          <w:color w:val="auto"/>
          <w:position w:val="0"/>
          <w:sz w:val="20"/>
          <w:szCs w:val="20"/>
          <w:rFonts w:ascii="Calibri" w:eastAsia="Calibri" w:hAnsi="Calibri" w:hint="default"/>
        </w:rPr>
        <w:footnoteRef/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)</w:t>
      </w: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 xml:space="preserve">د. أحمد عبدالكريم سلامه , قانون التحكيم التجاري الدولي والداخلي , تنظير وتطبيق مقارن , بدون ناشر , ملخص في جامعة حقوق </w:t>
      </w: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 xml:space="preserve">حلوان , ص47.</w:t>
      </w:r>
    </w:p>
  </w:footnote>
  <w:footnote w:id="13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(</w:t>
      </w:r>
      <w:r>
        <w:rPr>
          <w:rStyle w:val="PO154"/>
          <w:vertAlign w:val="superscript"/>
          <w:color w:val="auto"/>
          <w:position w:val="0"/>
          <w:sz w:val="20"/>
          <w:szCs w:val="20"/>
          <w:rFonts w:ascii="Calibri" w:eastAsia="Calibri" w:hAnsi="Calibri" w:hint="default"/>
        </w:rPr>
        <w:footnoteRef/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)</w:t>
      </w: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 xml:space="preserve">ا.د. أحمد عبدالكريم سلامه , النظرية العامة للنظم الودية لتسوية المنازعات , المرجع السابق ص 261.</w:t>
      </w:r>
    </w:p>
  </w:footnote>
  <w:footnote w:id="14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rStyle w:val="PO154"/>
          <w:vertAlign w:val="superscript"/>
          <w:color w:val="auto"/>
          <w:position w:val="0"/>
          <w:sz w:val="20"/>
          <w:szCs w:val="20"/>
          <w:rFonts w:ascii="Calibri" w:eastAsia="Calibri" w:hAnsi="Calibri" w:hint="default"/>
        </w:rPr>
        <w:footnoteRef/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)</w:t>
      </w: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 xml:space="preserve">) ا.د. أحمد عبدالكريم سلامه , النظرية العامة للنظم الودية لتسوية المنازعات , المرجع السابق ص 261 وص 262.</w:t>
      </w:r>
    </w:p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</w:p>
  </w:footnote>
  <w:footnote w:id="15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rStyle w:val="PO154"/>
          <w:vertAlign w:val="superscript"/>
          <w:color w:val="auto"/>
          <w:position w:val="0"/>
          <w:sz w:val="20"/>
          <w:szCs w:val="20"/>
          <w:rFonts w:ascii="Calibri" w:eastAsia="Calibri" w:hAnsi="Calibri" w:hint="default"/>
        </w:rPr>
        <w:footnoteRef/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)</w:t>
      </w: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 xml:space="preserve">)خيري عبدالفتاح البتانوني , الوساطة كوسيلة بديلة لفض المنازعات المدنية والتجارية, دار النهضة العربية , 2012 ص264.</w:t>
      </w:r>
    </w:p>
  </w:footnote>
  <w:footnote w:id="16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rStyle w:val="PO154"/>
          <w:vertAlign w:val="superscript"/>
          <w:color w:val="auto"/>
          <w:position w:val="0"/>
          <w:sz w:val="20"/>
          <w:szCs w:val="20"/>
          <w:rFonts w:ascii="Calibri" w:eastAsia="Calibri" w:hAnsi="Calibri" w:hint="default"/>
        </w:rPr>
        <w:footnoteRef/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)</w:t>
      </w: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 xml:space="preserve">)ا.د/ احمد عبدالكريم سلامة , النطرية العامة للنظم الودية لتسوية المنازعات , المرجع السابق , ص 265.</w:t>
      </w:r>
    </w:p>
  </w:footnote>
  <w:footnote w:id="17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rStyle w:val="PO154"/>
          <w:vertAlign w:val="superscript"/>
          <w:color w:val="auto"/>
          <w:position w:val="0"/>
          <w:sz w:val="20"/>
          <w:szCs w:val="20"/>
          <w:rFonts w:ascii="Calibri" w:eastAsia="Calibri" w:hAnsi="Calibri" w:hint="default"/>
        </w:rPr>
        <w:footnoteRef/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)</w:t>
      </w: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 xml:space="preserve">)د. علي عوض حسن , التعليق على القانون رقم 7 لسنة 2000 بشأن التوفيق في المنازعات , دار المطبوعات الجامعية , 2001 ص </w:t>
      </w: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 xml:space="preserve">10 و11 وراجع اختيار طرق التحكيم ومفهومه , مجلة المحاماة العدد الاول 2001 ص 567.</w:t>
      </w:r>
    </w:p>
  </w:footnote>
  <w:footnote w:id="18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(</w:t>
      </w:r>
      <w:r>
        <w:rPr>
          <w:rStyle w:val="PO154"/>
          <w:vertAlign w:val="superscript"/>
          <w:color w:val="auto"/>
          <w:position w:val="0"/>
          <w:sz w:val="20"/>
          <w:szCs w:val="20"/>
          <w:rFonts w:ascii="Calibri" w:eastAsia="Calibri" w:hAnsi="Calibri" w:hint="default"/>
        </w:rPr>
        <w:footnoteRef/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)</w:t>
      </w: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 xml:space="preserve">الاتحاد الدولي العربي للتحكيم  </w:t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 xml:space="preserve">http:/ www.aifa.eg.com/Hom/AllDynamic?pagename=Importance</w:t>
      </w: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>.</w:t>
      </w:r>
    </w:p>
  </w:footnote>
  <w:footnote w:id="19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(</w:t>
      </w:r>
      <w:r>
        <w:rPr>
          <w:rStyle w:val="PO154"/>
          <w:vertAlign w:val="superscript"/>
          <w:color w:val="auto"/>
          <w:position w:val="0"/>
          <w:sz w:val="20"/>
          <w:szCs w:val="20"/>
          <w:rFonts w:ascii="Calibri" w:eastAsia="Calibri" w:hAnsi="Calibri" w:hint="default"/>
        </w:rPr>
        <w:footnoteRef/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)</w:t>
      </w: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 xml:space="preserve">غير ان هذا الحق قيدته المادة 5/4 من مذكرة التفاهم بتدقريرها بانه عند الشروع في المساعي الحميدة او الوساطة في غضون ستين </w:t>
      </w: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 xml:space="preserve">يوم بعد تاريخ طلب عقد المشاورات يتعين على الطرف الشاكي ان يتيح فترة ستين يوم بعد تسلم طلب عقد المشاورات قبل ان يطلب </w:t>
      </w: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 xml:space="preserve">انشاء فريق التحكيم , انطر كتاب التوفيق التجاري الدولي , د/ محمد ابراهيم موسى ص 39.</w:t>
      </w:r>
    </w:p>
  </w:footnote>
  <w:footnote w:id="20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(</w:t>
      </w:r>
      <w:r>
        <w:rPr>
          <w:rStyle w:val="PO154"/>
          <w:vertAlign w:val="superscript"/>
          <w:color w:val="auto"/>
          <w:position w:val="0"/>
          <w:sz w:val="20"/>
          <w:szCs w:val="20"/>
          <w:rFonts w:ascii="Calibri" w:eastAsia="Calibri" w:hAnsi="Calibri" w:hint="default"/>
        </w:rPr>
        <w:footnoteRef/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)</w:t>
      </w: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 xml:space="preserve">ا.د  / احمد ابو الوفا , كتاب التحكيم الاختياري والتحكيم الاجباري , منشاة المعارف , الاسكندرية ص 21.</w:t>
      </w:r>
    </w:p>
  </w:footnote>
  <w:footnote w:id="21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rStyle w:val="PO154"/>
          <w:vertAlign w:val="superscript"/>
          <w:color w:val="auto"/>
          <w:position w:val="0"/>
          <w:sz w:val="20"/>
          <w:szCs w:val="20"/>
          <w:rFonts w:ascii="Calibri" w:eastAsia="Calibri" w:hAnsi="Calibri" w:hint="default"/>
        </w:rPr>
        <w:footnoteRef/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)</w:t>
      </w: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 xml:space="preserve">)الاتحاد الدولي العربي للتحكيم , المرجع السابق .</w:t>
      </w:r>
    </w:p>
  </w:footnote>
  <w:footnote w:id="22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rtl/>
          <w:color w:val="auto"/>
          <w:position w:val="0"/>
          <w:sz w:val="18"/>
          <w:szCs w:val="18"/>
          <w:rFonts w:ascii="Calibri" w:eastAsia="Calibri" w:hAnsi="Calibri" w:hint="default"/>
        </w:rPr>
        <w:autoSpaceDE w:val="1"/>
        <w:autoSpaceDN w:val="1"/>
      </w:pPr>
      <w:r>
        <w:rPr>
          <w:rtl/>
          <w:color w:val="auto"/>
          <w:position w:val="0"/>
          <w:sz w:val="18"/>
          <w:szCs w:val="18"/>
          <w:rFonts w:ascii="Calibri" w:eastAsia="Calibri" w:hAnsi="Calibri" w:hint="default"/>
        </w:rPr>
        <w:t>(1)</w:t>
      </w:r>
      <w:r>
        <w:rPr>
          <w:rtl/>
          <w:color w:val="000000" w:themeColor="text1"/>
          <w:position w:val="0"/>
          <w:sz w:val="18"/>
          <w:szCs w:val="18"/>
          <w:rFonts w:ascii="Calibri" w:eastAsia="Calibri" w:hAnsi="Calibri" w:hint="default"/>
        </w:rPr>
        <w:t xml:space="preserve"> نظر في ذلك:د. خيري عبدالفتاح البتانوني , المرجع السابق, ص110و111</w:t>
      </w:r>
    </w:p>
  </w:footnote>
  <w:footnote w:id="23">
    <w:p>
      <w:pPr>
        <w:pStyle w:val="PO152"/>
        <w:bidi w:val="1"/>
        <w:numPr>
          <w:ilvl w:val="0"/>
          <w:numId w:val="0"/>
        </w:numPr>
        <w:jc w:val="right"/>
        <w:spacing w:lineRule="auto" w:line="240" w:before="0" w:after="0"/>
        <w:ind w:left="0" w:firstLine="0"/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rtl/>
          <w:color w:val="auto"/>
          <w:position w:val="0"/>
          <w:sz w:val="16"/>
          <w:szCs w:val="16"/>
          <w:rFonts w:ascii="Calibri" w:eastAsia="Calibri" w:hAnsi="Calibri" w:hint="default"/>
        </w:rPr>
        <w:t xml:space="preserve">(1)  انظر في ذلك : د. خيري عبدالفتاح البتانوني ,المرجع السابق,ص118</w:t>
      </w: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>.</w:t>
      </w:r>
    </w:p>
  </w:footnote>
  <w:footnote w:id="24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color w:val="auto"/>
          <w:position w:val="0"/>
          <w:sz w:val="16"/>
          <w:szCs w:val="16"/>
          <w:rFonts w:ascii="Calibri" w:eastAsia="Calibri" w:hAnsi="Calibri" w:hint="default"/>
        </w:rPr>
        <w:autoSpaceDE w:val="1"/>
        <w:autoSpaceDN w:val="1"/>
      </w:pPr>
      <w:r>
        <w:rPr>
          <w:rtl/>
          <w:color w:val="auto"/>
          <w:position w:val="0"/>
          <w:sz w:val="16"/>
          <w:szCs w:val="16"/>
          <w:rFonts w:ascii="Calibri" w:eastAsia="Calibri" w:hAnsi="Calibri" w:hint="default"/>
        </w:rPr>
        <w:t xml:space="preserve">(2)انظر في ذلك : د. خيري عبدالفتاح البتانوني ,المرجع السابق , ص120.</w:t>
      </w:r>
    </w:p>
  </w:footnote>
  <w:footnote w:id="25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 xml:space="preserve">(1) د. خيري عبدالفتاح البتانوني ,المرجع السابق , ص129.</w:t>
      </w:r>
    </w:p>
  </w:footnote>
  <w:footnote w:id="26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 xml:space="preserve">(1) د. خيري عبدالفتاح البتانوني ,المرجع السابق , ص132</w:t>
      </w:r>
    </w:p>
  </w:footnote>
  <w:footnote w:id="27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 xml:space="preserve">(2) د. خيري عبدالفتاح البتانوني ,المرجع السابق , ص128.</w:t>
      </w:r>
    </w:p>
  </w:footnote>
  <w:footnote w:id="28">
    <w:p>
      <w:pPr>
        <w:bidi w:val="1"/>
        <w:numPr>
          <w:ilvl w:val="0"/>
          <w:numId w:val="0"/>
        </w:numPr>
        <w:jc w:val="left"/>
        <w:spacing w:lineRule="auto" w:line="275" w:before="0" w:after="200"/>
        <w:ind w:left="0" w:firstLine="0"/>
        <w:rPr>
          <w:color w:val="auto"/>
          <w:position w:val="0"/>
          <w:sz w:val="22"/>
          <w:szCs w:val="22"/>
          <w:rFonts w:ascii="Calibri" w:eastAsia="Calibri" w:hAnsi="Calibri" w:hint="default"/>
        </w:rPr>
        <w:autoSpaceDE w:val="1"/>
        <w:autoSpaceDN w:val="1"/>
      </w:pPr>
      <w:r>
        <w:rPr>
          <w:rtl/>
          <w:color w:val="auto"/>
          <w:position w:val="0"/>
          <w:sz w:val="18"/>
          <w:szCs w:val="18"/>
          <w:rFonts w:ascii="Calibri" w:eastAsia="Calibri" w:hAnsi="Calibri" w:hint="default"/>
        </w:rPr>
        <w:t xml:space="preserve">(1) ويعد هذا هو الوضع الغالب اذ عادة ماتجرى التسوية الودية بناء على مبادرة احد الطرفين بعد نشأة النزاع ولكن في احوال اخرى تجرى تلك </w:t>
      </w:r>
      <w:r>
        <w:rPr>
          <w:rtl/>
          <w:color w:val="auto"/>
          <w:position w:val="0"/>
          <w:sz w:val="18"/>
          <w:szCs w:val="18"/>
          <w:rFonts w:ascii="Calibri" w:eastAsia="Calibri" w:hAnsi="Calibri" w:hint="default"/>
        </w:rPr>
        <w:t xml:space="preserve">التسوية امتثالا لاتفاق بين الطرفين قبل نشوء النزاع او بناء على دعوة من مركز اوغرفة تحكيم . ولقد وضحت الفقرة الرابعة من المادة الاولى من </w:t>
      </w:r>
      <w:r>
        <w:rPr>
          <w:rtl/>
          <w:color w:val="auto"/>
          <w:position w:val="0"/>
          <w:sz w:val="18"/>
          <w:szCs w:val="18"/>
          <w:rFonts w:ascii="Calibri" w:eastAsia="Calibri" w:hAnsi="Calibri" w:hint="default"/>
        </w:rPr>
        <w:t xml:space="preserve">القانون النموذجي الذي وضعه (الاونيسترال) تلك الاحوال بنصها على ان ( تنطبق هذه الاحكام التشريعية النموذجية دون اعتبار لما اذا كان التوفيق </w:t>
      </w:r>
      <w:r>
        <w:rPr>
          <w:rtl/>
          <w:color w:val="auto"/>
          <w:position w:val="0"/>
          <w:sz w:val="18"/>
          <w:szCs w:val="18"/>
          <w:rFonts w:ascii="Calibri" w:eastAsia="Calibri" w:hAnsi="Calibri" w:hint="default"/>
        </w:rPr>
        <w:t xml:space="preserve">يجرى بناء على مبادرة احد الطرفين بعد نشوء النزاع او امتثالا لاتفاق بين الطرفين قبل نشوء التزاع او عملا بتوجيه اوطلب من محكمة او هيئة </w:t>
      </w:r>
      <w:r>
        <w:rPr>
          <w:rtl/>
          <w:color w:val="auto"/>
          <w:position w:val="0"/>
          <w:sz w:val="18"/>
          <w:szCs w:val="18"/>
          <w:rFonts w:ascii="Calibri" w:eastAsia="Calibri" w:hAnsi="Calibri" w:hint="default"/>
        </w:rPr>
        <w:t xml:space="preserve">تحكيمية مختصة) راجع في ذلك :  د/ محمد ابراهيم موسى , المرجع السابق, ص155.</w:t>
      </w:r>
    </w:p>
  </w:footnote>
  <w:footnote w:id="29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color w:val="auto"/>
          <w:position w:val="0"/>
          <w:sz w:val="18"/>
          <w:szCs w:val="18"/>
          <w:rFonts w:ascii="Calibri" w:eastAsia="Calibri" w:hAnsi="Calibri" w:hint="default"/>
        </w:rPr>
        <w:autoSpaceDE w:val="1"/>
        <w:autoSpaceDN w:val="1"/>
      </w:pPr>
      <w:r>
        <w:rPr>
          <w:rStyle w:val="PO154"/>
          <w:vertAlign w:val="superscript"/>
          <w:color w:val="auto"/>
          <w:position w:val="0"/>
          <w:sz w:val="18"/>
          <w:szCs w:val="18"/>
          <w:rFonts w:ascii="Calibri" w:eastAsia="Calibri" w:hAnsi="Calibri" w:hint="default"/>
        </w:rPr>
        <w:footnoteRef/>
      </w:r>
      <w:r>
        <w:rPr>
          <w:color w:val="auto"/>
          <w:position w:val="0"/>
          <w:sz w:val="18"/>
          <w:szCs w:val="18"/>
          <w:rFonts w:ascii="Calibri" w:eastAsia="Calibri" w:hAnsi="Calibri" w:hint="default"/>
        </w:rPr>
        <w:t>)</w:t>
      </w:r>
      <w:r>
        <w:rPr>
          <w:rtl/>
          <w:color w:val="auto"/>
          <w:position w:val="0"/>
          <w:sz w:val="18"/>
          <w:szCs w:val="18"/>
          <w:rFonts w:ascii="Calibri" w:eastAsia="Calibri" w:hAnsi="Calibri" w:hint="default"/>
        </w:rPr>
        <w:t xml:space="preserve">) </w:t>
      </w:r>
      <w:r>
        <w:rPr>
          <w:spacing w:val="-7"/>
          <w:color w:val="000000" w:themeColor="text1"/>
          <w:position w:val="0"/>
          <w:sz w:val="18"/>
          <w:szCs w:val="18"/>
          <w:rFonts w:ascii="Cambria" w:eastAsia="Calibri" w:hAnsi="Calibri" w:hint="default"/>
        </w:rPr>
        <w:t xml:space="preserve">UNCITRAL Model Law on International Commercial Conciliation</w:t>
      </w:r>
      <w:r>
        <w:rPr>
          <w:color w:val="auto"/>
          <w:position w:val="0"/>
          <w:sz w:val="18"/>
          <w:szCs w:val="18"/>
          <w:rFonts w:ascii="Cambria" w:eastAsia="Calibri" w:hAnsi="Calibri" w:hint="default"/>
        </w:rPr>
        <w:t xml:space="preserve"> (2002),</w:t>
      </w:r>
      <w:r>
        <w:rPr>
          <w:color w:val="231F20"/>
          <w:position w:val="0"/>
          <w:sz w:val="18"/>
          <w:szCs w:val="18"/>
          <w:rFonts w:ascii="Cambria" w:eastAsia="Calibri" w:hAnsi="Calibri" w:hint="default"/>
        </w:rPr>
        <w:t xml:space="preserve"> op, p1 , A1,6.</w:t>
      </w:r>
    </w:p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</w:p>
  </w:footnote>
  <w:footnote w:id="30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color w:val="auto"/>
          <w:position w:val="0"/>
          <w:sz w:val="18"/>
          <w:szCs w:val="18"/>
          <w:rFonts w:ascii="Calibri" w:eastAsia="Calibri" w:hAnsi="Calibri" w:hint="default"/>
        </w:rPr>
        <w:autoSpaceDE w:val="1"/>
        <w:autoSpaceDN w:val="1"/>
      </w:pPr>
      <w:r>
        <w:rPr>
          <w:rStyle w:val="PO154"/>
          <w:vertAlign w:val="superscript"/>
          <w:color w:val="auto"/>
          <w:position w:val="0"/>
          <w:sz w:val="18"/>
          <w:szCs w:val="18"/>
          <w:rFonts w:ascii="Calibri" w:eastAsia="Calibri" w:hAnsi="Calibri" w:hint="default"/>
        </w:rPr>
        <w:footnoteRef/>
      </w:r>
      <w:r>
        <w:rPr>
          <w:color w:val="auto"/>
          <w:position w:val="0"/>
          <w:sz w:val="18"/>
          <w:szCs w:val="18"/>
          <w:rFonts w:ascii="Calibri" w:eastAsia="Calibri" w:hAnsi="Calibri" w:hint="default"/>
        </w:rPr>
        <w:t>)</w:t>
      </w:r>
      <w:r>
        <w:rPr>
          <w:rtl/>
          <w:color w:val="auto"/>
          <w:position w:val="0"/>
          <w:sz w:val="18"/>
          <w:szCs w:val="18"/>
          <w:rFonts w:ascii="Calibri" w:eastAsia="Calibri" w:hAnsi="Calibri" w:hint="default"/>
        </w:rPr>
        <w:t xml:space="preserve">) </w:t>
      </w:r>
      <w:r>
        <w:rPr>
          <w:spacing w:val="-7"/>
          <w:color w:val="000000" w:themeColor="text1"/>
          <w:position w:val="0"/>
          <w:sz w:val="18"/>
          <w:szCs w:val="18"/>
          <w:rFonts w:ascii="Cambria" w:eastAsia="Calibri" w:hAnsi="Calibri" w:hint="default"/>
        </w:rPr>
        <w:t xml:space="preserve">UNCITRAL Model Law on International Commercial Conciliation</w:t>
      </w:r>
      <w:r>
        <w:rPr>
          <w:color w:val="auto"/>
          <w:position w:val="0"/>
          <w:sz w:val="18"/>
          <w:szCs w:val="18"/>
          <w:rFonts w:ascii="Cambria" w:eastAsia="Calibri" w:hAnsi="Calibri" w:hint="default"/>
        </w:rPr>
        <w:t xml:space="preserve"> (2002),</w:t>
      </w:r>
      <w:r>
        <w:rPr>
          <w:color w:val="231F20"/>
          <w:position w:val="0"/>
          <w:sz w:val="18"/>
          <w:szCs w:val="18"/>
          <w:rFonts w:ascii="Cambria" w:eastAsia="Calibri" w:hAnsi="Calibri" w:hint="default"/>
        </w:rPr>
        <w:t xml:space="preserve"> op, p1 , A4.</w:t>
      </w:r>
    </w:p>
  </w:footnote>
  <w:footnote w:id="31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color w:val="auto"/>
          <w:position w:val="0"/>
          <w:sz w:val="20"/>
          <w:szCs w:val="20"/>
          <w:rFonts w:ascii="Calibri" w:eastAsia="Arial" w:hAnsi="Arial" w:hint="default"/>
        </w:rPr>
        <w:autoSpaceDE w:val="1"/>
        <w:autoSpaceDN w:val="1"/>
      </w:pPr>
      <w:r>
        <w:rPr>
          <w:rtl/>
          <w:color w:val="auto"/>
          <w:position w:val="0"/>
          <w:sz w:val="18"/>
          <w:szCs w:val="18"/>
          <w:rFonts w:ascii="Calibri" w:eastAsia="Calibri" w:hAnsi="Calibri" w:hint="default"/>
        </w:rPr>
        <w:t xml:space="preserve">(3) انظر في ذلك : د/أحمد عبدالكريم سلامة , النظرية العامة للنظم الودية لتسوية المنازعات, المرجع السابق, ص295.</w:t>
      </w:r>
    </w:p>
  </w:footnote>
  <w:footnote w:id="32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rtl/>
          <w:color w:val="auto"/>
          <w:position w:val="0"/>
          <w:sz w:val="18"/>
          <w:szCs w:val="18"/>
          <w:rFonts w:ascii="Calibri" w:eastAsia="Arial" w:hAnsi="Arial" w:hint="default"/>
        </w:rPr>
        <w:autoSpaceDE w:val="1"/>
        <w:autoSpaceDN w:val="1"/>
      </w:pPr>
      <w:r>
        <w:rPr>
          <w:rtl/>
          <w:color w:val="auto"/>
          <w:position w:val="0"/>
          <w:sz w:val="18"/>
          <w:szCs w:val="18"/>
          <w:rFonts w:ascii="Calibri" w:eastAsia="Calibri" w:hAnsi="Calibri" w:hint="default"/>
        </w:rPr>
        <w:t xml:space="preserve">(1) انظر في ذلك : د/ محمد إبراهيم موسى , المرجع السابق, ص176.</w:t>
      </w:r>
    </w:p>
  </w:footnote>
  <w:footnote w:id="33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rtl/>
          <w:color w:val="auto"/>
          <w:position w:val="0"/>
          <w:sz w:val="18"/>
          <w:szCs w:val="18"/>
          <w:rFonts w:ascii="Calibri" w:eastAsia="Calibri" w:hAnsi="Calibri" w:hint="default"/>
        </w:rPr>
        <w:autoSpaceDE w:val="1"/>
        <w:autoSpaceDN w:val="1"/>
      </w:pPr>
      <w:r>
        <w:rPr>
          <w:rStyle w:val="PO154"/>
          <w:vertAlign w:val="superscript"/>
          <w:color w:val="auto"/>
          <w:position w:val="0"/>
          <w:sz w:val="18"/>
          <w:szCs w:val="18"/>
          <w:rFonts w:ascii="Calibri" w:eastAsia="Calibri" w:hAnsi="Calibri" w:hint="default"/>
        </w:rPr>
        <w:footnoteRef/>
      </w:r>
      <w:r>
        <w:rPr>
          <w:color w:val="auto"/>
          <w:position w:val="0"/>
          <w:sz w:val="18"/>
          <w:szCs w:val="18"/>
          <w:rFonts w:ascii="Calibri" w:eastAsia="Calibri" w:hAnsi="Calibri" w:hint="default"/>
        </w:rPr>
        <w:t>)</w:t>
      </w:r>
      <w:r>
        <w:rPr>
          <w:rtl/>
          <w:color w:val="auto"/>
          <w:position w:val="0"/>
          <w:sz w:val="18"/>
          <w:szCs w:val="18"/>
          <w:rFonts w:ascii="Calibri" w:eastAsia="Calibri" w:hAnsi="Calibri" w:hint="default"/>
        </w:rPr>
        <w:t xml:space="preserve">) </w:t>
      </w:r>
      <w:r>
        <w:rPr>
          <w:spacing w:val="-7"/>
          <w:color w:val="000000" w:themeColor="text1"/>
          <w:position w:val="0"/>
          <w:sz w:val="18"/>
          <w:szCs w:val="18"/>
          <w:rFonts w:ascii="Cambria" w:eastAsia="Calibri" w:hAnsi="Calibri" w:hint="default"/>
        </w:rPr>
        <w:t xml:space="preserve">UNCITRAL Model Law on International Commercial Conciliation</w:t>
      </w:r>
      <w:r>
        <w:rPr>
          <w:color w:val="auto"/>
          <w:position w:val="0"/>
          <w:sz w:val="18"/>
          <w:szCs w:val="18"/>
          <w:rFonts w:ascii="Cambria" w:eastAsia="Calibri" w:hAnsi="Calibri" w:hint="default"/>
        </w:rPr>
        <w:t xml:space="preserve"> (2002),</w:t>
      </w:r>
      <w:r>
        <w:rPr>
          <w:color w:val="231F20"/>
          <w:position w:val="0"/>
          <w:sz w:val="18"/>
          <w:szCs w:val="18"/>
          <w:rFonts w:ascii="Cambria" w:eastAsia="Calibri" w:hAnsi="Calibri" w:hint="default"/>
        </w:rPr>
        <w:t xml:space="preserve"> op, p1 , A6,1.</w:t>
      </w:r>
    </w:p>
  </w:footnote>
  <w:footnote w:id="34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rtl/>
          <w:color w:val="auto"/>
          <w:position w:val="0"/>
          <w:sz w:val="18"/>
          <w:szCs w:val="18"/>
          <w:rFonts w:ascii="Calibri" w:eastAsia="Calibri" w:hAnsi="Calibri" w:hint="default"/>
        </w:rPr>
        <w:autoSpaceDE w:val="1"/>
        <w:autoSpaceDN w:val="1"/>
      </w:pPr>
      <w:r>
        <w:rPr>
          <w:rStyle w:val="PO154"/>
          <w:vertAlign w:val="superscript"/>
          <w:color w:val="auto"/>
          <w:position w:val="0"/>
          <w:sz w:val="18"/>
          <w:szCs w:val="18"/>
          <w:rFonts w:ascii="Calibri" w:eastAsia="Calibri" w:hAnsi="Calibri" w:hint="default"/>
        </w:rPr>
        <w:footnoteRef/>
      </w:r>
      <w:r>
        <w:rPr>
          <w:color w:val="auto"/>
          <w:position w:val="0"/>
          <w:sz w:val="18"/>
          <w:szCs w:val="18"/>
          <w:rFonts w:ascii="Calibri" w:eastAsia="Calibri" w:hAnsi="Calibri" w:hint="default"/>
        </w:rPr>
        <w:t>)</w:t>
      </w:r>
      <w:r>
        <w:rPr>
          <w:rtl/>
          <w:color w:val="auto"/>
          <w:position w:val="0"/>
          <w:sz w:val="18"/>
          <w:szCs w:val="18"/>
          <w:rFonts w:ascii="Calibri" w:eastAsia="Calibri" w:hAnsi="Calibri" w:hint="default"/>
        </w:rPr>
        <w:t xml:space="preserve">) </w:t>
      </w:r>
      <w:r>
        <w:rPr>
          <w:spacing w:val="-7"/>
          <w:color w:val="000000" w:themeColor="text1"/>
          <w:position w:val="0"/>
          <w:sz w:val="18"/>
          <w:szCs w:val="18"/>
          <w:rFonts w:ascii="Cambria" w:eastAsia="Calibri" w:hAnsi="Calibri" w:hint="default"/>
        </w:rPr>
        <w:t xml:space="preserve">UNCITRAL Model Law on International Commercial Conciliation</w:t>
      </w:r>
      <w:r>
        <w:rPr>
          <w:color w:val="auto"/>
          <w:position w:val="0"/>
          <w:sz w:val="18"/>
          <w:szCs w:val="18"/>
          <w:rFonts w:ascii="Cambria" w:eastAsia="Calibri" w:hAnsi="Calibri" w:hint="default"/>
        </w:rPr>
        <w:t xml:space="preserve"> (2002),</w:t>
      </w:r>
      <w:r>
        <w:rPr>
          <w:color w:val="231F20"/>
          <w:position w:val="0"/>
          <w:sz w:val="18"/>
          <w:szCs w:val="18"/>
          <w:rFonts w:ascii="Cambria" w:eastAsia="Calibri" w:hAnsi="Calibri" w:hint="default"/>
        </w:rPr>
        <w:t xml:space="preserve"> op, p1 , A6,2.</w:t>
      </w:r>
    </w:p>
  </w:footnote>
  <w:footnote w:id="35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rtl/>
          <w:color w:val="auto"/>
          <w:position w:val="0"/>
          <w:sz w:val="18"/>
          <w:szCs w:val="18"/>
          <w:rFonts w:ascii="Calibri" w:eastAsia="Calibri" w:hAnsi="Calibri" w:hint="default"/>
        </w:rPr>
        <w:t xml:space="preserve">(5) انظر في ذلك : د/ محمد إبراهيم موسى, المرجع السابق ص177.</w:t>
      </w:r>
    </w:p>
  </w:footnote>
  <w:footnote w:id="36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color w:val="auto"/>
          <w:position w:val="0"/>
          <w:sz w:val="20"/>
          <w:szCs w:val="20"/>
          <w:rFonts w:ascii="Calibri" w:eastAsia="Arial" w:hAnsi="Arial" w:hint="default"/>
        </w:rPr>
        <w:autoSpaceDE w:val="1"/>
        <w:autoSpaceDN w:val="1"/>
      </w:pP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 xml:space="preserve">(1) نظر في ذلك : د/أحمد عبدالكريم سلامة , النظرية العامة للنظم الودية لتسوية المنازعات, المرجع السابق, ص295.</w:t>
      </w:r>
    </w:p>
  </w:footnote>
  <w:footnote w:id="37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rStyle w:val="PO154"/>
          <w:vertAlign w:val="superscript"/>
          <w:color w:val="auto"/>
          <w:position w:val="0"/>
          <w:sz w:val="20"/>
          <w:szCs w:val="20"/>
          <w:rFonts w:ascii="Calibri" w:eastAsia="Calibri" w:hAnsi="Calibri" w:hint="default"/>
        </w:rPr>
        <w:footnoteRef/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)</w:t>
      </w: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 xml:space="preserve">) </w:t>
      </w:r>
      <w:r>
        <w:rPr>
          <w:spacing w:val="-7"/>
          <w:color w:val="000000" w:themeColor="text1"/>
          <w:position w:val="0"/>
          <w:sz w:val="18"/>
          <w:szCs w:val="18"/>
          <w:rFonts w:ascii="Cambria" w:eastAsia="Calibri" w:hAnsi="Calibri" w:hint="default"/>
        </w:rPr>
        <w:t xml:space="preserve">UNCITRAL Model Law on International Commercial Conciliation</w:t>
      </w:r>
      <w:r>
        <w:rPr>
          <w:color w:val="auto"/>
          <w:position w:val="0"/>
          <w:sz w:val="18"/>
          <w:szCs w:val="18"/>
          <w:rFonts w:ascii="Cambria" w:eastAsia="Calibri" w:hAnsi="Calibri" w:hint="default"/>
        </w:rPr>
        <w:t xml:space="preserve"> (2002),</w:t>
      </w:r>
      <w:r>
        <w:rPr>
          <w:color w:val="231F20"/>
          <w:position w:val="0"/>
          <w:sz w:val="18"/>
          <w:szCs w:val="18"/>
          <w:rFonts w:ascii="Cambria" w:eastAsia="Calibri" w:hAnsi="Calibri" w:hint="default"/>
        </w:rPr>
        <w:t xml:space="preserve"> op, p1 , A7.</w:t>
      </w:r>
    </w:p>
  </w:footnote>
  <w:footnote w:id="38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rtl/>
          <w:color w:val="auto"/>
          <w:position w:val="0"/>
          <w:sz w:val="18"/>
          <w:szCs w:val="18"/>
          <w:rFonts w:ascii="Calibri" w:eastAsia="Calibri" w:hAnsi="Calibri" w:hint="default"/>
        </w:rPr>
        <w:t xml:space="preserve">(1)  انظر: د./ خيري عبدالفتاح البتانوني, المرجع السابق, ص179.</w:t>
      </w:r>
    </w:p>
  </w:footnote>
  <w:footnote w:id="39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color w:val="auto"/>
          <w:position w:val="0"/>
          <w:sz w:val="18"/>
          <w:szCs w:val="18"/>
          <w:rFonts w:ascii="Calibri" w:eastAsia="Calibri" w:hAnsi="Calibri" w:hint="default"/>
        </w:rPr>
        <w:autoSpaceDE w:val="1"/>
        <w:autoSpaceDN w:val="1"/>
      </w:pPr>
      <w:r>
        <w:rPr>
          <w:rStyle w:val="PO154"/>
          <w:vertAlign w:val="superscript"/>
          <w:color w:val="auto"/>
          <w:position w:val="0"/>
          <w:sz w:val="18"/>
          <w:szCs w:val="18"/>
          <w:rFonts w:ascii="Calibri" w:eastAsia="Calibri" w:hAnsi="Calibri" w:hint="default"/>
        </w:rPr>
        <w:footnoteRef/>
      </w:r>
      <w:r>
        <w:rPr>
          <w:color w:val="auto"/>
          <w:position w:val="0"/>
          <w:sz w:val="18"/>
          <w:szCs w:val="18"/>
          <w:rFonts w:ascii="Calibri" w:eastAsia="Calibri" w:hAnsi="Calibri" w:hint="default"/>
        </w:rPr>
        <w:t>)</w:t>
      </w:r>
      <w:r>
        <w:rPr>
          <w:rtl/>
          <w:color w:val="auto"/>
          <w:position w:val="0"/>
          <w:sz w:val="18"/>
          <w:szCs w:val="18"/>
          <w:rFonts w:ascii="Calibri" w:eastAsia="Calibri" w:hAnsi="Calibri" w:hint="default"/>
        </w:rPr>
        <w:t xml:space="preserve">) </w:t>
      </w:r>
      <w:r>
        <w:rPr>
          <w:spacing w:val="-7"/>
          <w:color w:val="000000" w:themeColor="text1"/>
          <w:position w:val="0"/>
          <w:sz w:val="18"/>
          <w:szCs w:val="18"/>
          <w:rFonts w:ascii="Cambria" w:eastAsia="Calibri" w:hAnsi="Calibri" w:hint="default"/>
        </w:rPr>
        <w:t xml:space="preserve">UNCITRAL Model Law on International Commercial Conciliation</w:t>
      </w:r>
      <w:r>
        <w:rPr>
          <w:color w:val="auto"/>
          <w:position w:val="0"/>
          <w:sz w:val="18"/>
          <w:szCs w:val="18"/>
          <w:rFonts w:ascii="Cambria" w:eastAsia="Calibri" w:hAnsi="Calibri" w:hint="default"/>
        </w:rPr>
        <w:t xml:space="preserve"> (2002),</w:t>
      </w:r>
      <w:r>
        <w:rPr>
          <w:color w:val="231F20"/>
          <w:position w:val="0"/>
          <w:sz w:val="18"/>
          <w:szCs w:val="18"/>
          <w:rFonts w:ascii="Cambria" w:eastAsia="Calibri" w:hAnsi="Calibri" w:hint="default"/>
        </w:rPr>
        <w:t xml:space="preserve"> op, p1 , A11.</w:t>
      </w:r>
    </w:p>
  </w:footnote>
  <w:footnote w:id="40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rtl/>
          <w:color w:val="auto"/>
          <w:position w:val="0"/>
          <w:sz w:val="18"/>
          <w:szCs w:val="18"/>
          <w:rFonts w:ascii="Calibri" w:eastAsia="Calibri" w:hAnsi="Calibri" w:hint="default"/>
        </w:rPr>
        <w:autoSpaceDE w:val="1"/>
        <w:autoSpaceDN w:val="1"/>
      </w:pPr>
      <w:r>
        <w:rPr>
          <w:rStyle w:val="PO154"/>
          <w:vertAlign w:val="superscript"/>
          <w:color w:val="auto"/>
          <w:position w:val="0"/>
          <w:sz w:val="18"/>
          <w:szCs w:val="18"/>
          <w:rFonts w:ascii="Calibri" w:eastAsia="Calibri" w:hAnsi="Calibri" w:hint="default"/>
        </w:rPr>
        <w:footnoteRef/>
      </w:r>
      <w:r>
        <w:rPr>
          <w:color w:val="auto"/>
          <w:position w:val="0"/>
          <w:sz w:val="18"/>
          <w:szCs w:val="18"/>
          <w:rFonts w:ascii="Calibri" w:eastAsia="Calibri" w:hAnsi="Calibri" w:hint="default"/>
        </w:rPr>
        <w:t>)</w:t>
      </w:r>
      <w:r>
        <w:rPr>
          <w:rtl/>
          <w:color w:val="auto"/>
          <w:position w:val="0"/>
          <w:sz w:val="18"/>
          <w:szCs w:val="18"/>
          <w:rFonts w:ascii="Calibri" w:eastAsia="Calibri" w:hAnsi="Calibri" w:hint="default"/>
        </w:rPr>
        <w:t xml:space="preserve">) </w:t>
      </w:r>
      <w:r>
        <w:rPr>
          <w:spacing w:val="-7"/>
          <w:color w:val="000000" w:themeColor="text1"/>
          <w:position w:val="0"/>
          <w:sz w:val="18"/>
          <w:szCs w:val="18"/>
          <w:rFonts w:ascii="Cambria" w:eastAsia="Calibri" w:hAnsi="Calibri" w:hint="default"/>
        </w:rPr>
        <w:t xml:space="preserve">UNCITRAL Model Law on International Commercial Conciliation</w:t>
      </w:r>
      <w:r>
        <w:rPr>
          <w:color w:val="auto"/>
          <w:position w:val="0"/>
          <w:sz w:val="18"/>
          <w:szCs w:val="18"/>
          <w:rFonts w:ascii="Cambria" w:eastAsia="Calibri" w:hAnsi="Calibri" w:hint="default"/>
        </w:rPr>
        <w:t xml:space="preserve"> (2002),</w:t>
      </w:r>
      <w:r>
        <w:rPr>
          <w:color w:val="231F20"/>
          <w:position w:val="0"/>
          <w:sz w:val="18"/>
          <w:szCs w:val="18"/>
          <w:rFonts w:ascii="Cambria" w:eastAsia="Calibri" w:hAnsi="Calibri" w:hint="default"/>
        </w:rPr>
        <w:t xml:space="preserve"> op, p1 , A11</w:t>
      </w:r>
    </w:p>
  </w:footnote>
  <w:footnote w:id="41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rStyle w:val="PO154"/>
          <w:vertAlign w:val="superscript"/>
          <w:color w:val="auto"/>
          <w:position w:val="0"/>
          <w:sz w:val="20"/>
          <w:szCs w:val="20"/>
          <w:rFonts w:ascii="Calibri" w:eastAsia="Calibri" w:hAnsi="Calibri" w:hint="default"/>
        </w:rPr>
        <w:footnoteRef/>
      </w:r>
      <w:r>
        <w:rPr>
          <w:color w:val="auto"/>
          <w:position w:val="0"/>
          <w:sz w:val="20"/>
          <w:szCs w:val="20"/>
          <w:rFonts w:ascii="Calibri" w:eastAsia="Calibri" w:hAnsi="Calibri" w:hint="default"/>
        </w:rPr>
        <w:t>)</w:t>
      </w:r>
      <w:r>
        <w:rPr>
          <w:rtl/>
          <w:color w:val="auto"/>
          <w:position w:val="0"/>
          <w:sz w:val="20"/>
          <w:szCs w:val="20"/>
          <w:rFonts w:ascii="Calibri" w:eastAsia="Calibri" w:hAnsi="Calibri" w:hint="default"/>
        </w:rPr>
        <w:t xml:space="preserve">) </w:t>
      </w:r>
      <w:r>
        <w:rPr>
          <w:spacing w:val="-7"/>
          <w:color w:val="000000" w:themeColor="text1"/>
          <w:position w:val="0"/>
          <w:sz w:val="18"/>
          <w:szCs w:val="18"/>
          <w:rFonts w:ascii="Cambria" w:eastAsia="Calibri" w:hAnsi="Calibri" w:hint="default"/>
        </w:rPr>
        <w:t xml:space="preserve">UNCITRAL Model Law on International Commercial Conciliation</w:t>
      </w:r>
      <w:r>
        <w:rPr>
          <w:color w:val="auto"/>
          <w:position w:val="0"/>
          <w:sz w:val="18"/>
          <w:szCs w:val="18"/>
          <w:rFonts w:ascii="Cambria" w:eastAsia="Calibri" w:hAnsi="Calibri" w:hint="default"/>
        </w:rPr>
        <w:t xml:space="preserve"> (2002),</w:t>
      </w:r>
      <w:r>
        <w:rPr>
          <w:color w:val="231F20"/>
          <w:position w:val="0"/>
          <w:sz w:val="18"/>
          <w:szCs w:val="18"/>
          <w:rFonts w:ascii="Cambria" w:eastAsia="Calibri" w:hAnsi="Calibri" w:hint="default"/>
        </w:rPr>
        <w:t xml:space="preserve"> op, p1 , A11</w:t>
      </w:r>
    </w:p>
  </w:footnote>
  <w:footnote w:id="42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color w:val="auto"/>
          <w:position w:val="0"/>
          <w:sz w:val="18"/>
          <w:szCs w:val="18"/>
          <w:rFonts w:ascii="Calibri" w:eastAsia="Arial" w:hAnsi="Arial" w:hint="default"/>
        </w:rPr>
        <w:autoSpaceDE w:val="1"/>
        <w:autoSpaceDN w:val="1"/>
      </w:pPr>
      <w:r>
        <w:rPr>
          <w:rtl/>
          <w:color w:val="auto"/>
          <w:position w:val="0"/>
          <w:sz w:val="18"/>
          <w:szCs w:val="18"/>
          <w:rFonts w:ascii="Calibri" w:eastAsia="Calibri" w:hAnsi="Calibri" w:hint="default"/>
        </w:rPr>
        <w:t xml:space="preserve">(4) انظر: د./ ابراهيم نجار , الاساليب البديلة لتسوية المنازعات في قانون العقود اللبناني , ندوة القانون المقارن, دمشق,1996, ص178.</w:t>
      </w:r>
    </w:p>
  </w:footnote>
  <w:footnote w:id="43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rtl/>
          <w:color w:val="auto"/>
          <w:position w:val="0"/>
          <w:sz w:val="18"/>
          <w:szCs w:val="18"/>
          <w:rFonts w:ascii="Calibri" w:eastAsia="Calibri" w:hAnsi="Calibri" w:hint="default"/>
        </w:rPr>
        <w:autoSpaceDE w:val="1"/>
        <w:autoSpaceDN w:val="1"/>
      </w:pPr>
      <w:r>
        <w:rPr>
          <w:rtl/>
          <w:color w:val="auto"/>
          <w:position w:val="0"/>
          <w:sz w:val="18"/>
          <w:szCs w:val="18"/>
          <w:rFonts w:ascii="Calibri" w:eastAsia="Calibri" w:hAnsi="Calibri" w:hint="default"/>
        </w:rPr>
        <w:t xml:space="preserve">(1) انظر: د./ خيري عبدالفتاح البتانوني, المرجع السابق, ص212.</w:t>
      </w:r>
    </w:p>
  </w:footnote>
  <w:footnote w:id="44">
    <w:p>
      <w:pPr>
        <w:pStyle w:val="PO152"/>
        <w:bidi w:val="1"/>
        <w:numPr>
          <w:ilvl w:val="0"/>
          <w:numId w:val="0"/>
        </w:numPr>
        <w:jc w:val="left"/>
        <w:spacing w:lineRule="auto" w:line="240" w:before="0" w:after="0"/>
        <w:ind w:left="0" w:firstLine="0"/>
        <w:rPr>
          <w:color w:val="auto"/>
          <w:position w:val="0"/>
          <w:sz w:val="20"/>
          <w:szCs w:val="20"/>
          <w:rFonts w:ascii="Calibri" w:eastAsia="Calibri" w:hAnsi="Calibri" w:hint="default"/>
        </w:rPr>
        <w:autoSpaceDE w:val="1"/>
        <w:autoSpaceDN w:val="1"/>
      </w:pPr>
      <w:r>
        <w:rPr>
          <w:rStyle w:val="PO154"/>
          <w:vertAlign w:val="superscript"/>
          <w:color w:val="auto"/>
          <w:position w:val="0"/>
          <w:sz w:val="18"/>
          <w:szCs w:val="18"/>
          <w:rFonts w:ascii="Calibri" w:eastAsia="Calibri" w:hAnsi="Calibri" w:hint="default"/>
        </w:rPr>
        <w:footnoteRef/>
      </w:r>
      <w:r>
        <w:rPr>
          <w:color w:val="auto"/>
          <w:position w:val="0"/>
          <w:sz w:val="18"/>
          <w:szCs w:val="18"/>
          <w:rFonts w:ascii="Calibri" w:eastAsia="Calibri" w:hAnsi="Calibri" w:hint="default"/>
        </w:rPr>
        <w:t>)</w:t>
      </w:r>
      <w:r>
        <w:rPr>
          <w:rtl/>
          <w:color w:val="auto"/>
          <w:position w:val="0"/>
          <w:sz w:val="18"/>
          <w:szCs w:val="18"/>
          <w:rFonts w:ascii="Calibri" w:eastAsia="Calibri" w:hAnsi="Calibri" w:hint="default"/>
        </w:rPr>
        <w:t xml:space="preserve">) </w:t>
      </w:r>
      <w:r>
        <w:rPr>
          <w:spacing w:val="-7"/>
          <w:color w:val="000000" w:themeColor="text1"/>
          <w:position w:val="0"/>
          <w:sz w:val="18"/>
          <w:szCs w:val="18"/>
          <w:rFonts w:ascii="Cambria" w:eastAsia="Calibri" w:hAnsi="Calibri" w:hint="default"/>
        </w:rPr>
        <w:t xml:space="preserve">UNCITRAL Model Law on International Commercial Conciliation</w:t>
      </w:r>
      <w:r>
        <w:rPr>
          <w:color w:val="auto"/>
          <w:position w:val="0"/>
          <w:sz w:val="18"/>
          <w:szCs w:val="18"/>
          <w:rFonts w:ascii="Cambria" w:eastAsia="Calibri" w:hAnsi="Calibri" w:hint="default"/>
        </w:rPr>
        <w:t xml:space="preserve"> (2002),</w:t>
      </w:r>
      <w:r>
        <w:rPr>
          <w:color w:val="231F20"/>
          <w:position w:val="0"/>
          <w:sz w:val="18"/>
          <w:szCs w:val="18"/>
          <w:rFonts w:ascii="Cambria" w:eastAsia="Calibri" w:hAnsi="Calibri" w:hint="default"/>
        </w:rPr>
        <w:t xml:space="preserve"> op, p1 , A14.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4D341788"/>
    <w:lvl w:ilvl="0">
      <w:lvlJc w:val="left"/>
      <w:numFmt w:val="decimal"/>
      <w:start w:val="1"/>
      <w:suff w:val="tab"/>
      <w:pPr>
        <w:ind w:left="720" w:hanging="360"/>
        <w:jc w:val="both"/>
      </w:pPr>
      <w:rPr>
        <w:shd w:val="clear"/>
        <w:sz w:val="20"/>
        <w:szCs w:val="20"/>
        <w:w w:val="100"/>
      </w:rPr>
      <w:lvlText w:val="%1-"/>
    </w:lvl>
    <w:lvl w:ilvl="1">
      <w:lvlJc w:val="left"/>
      <w:numFmt w:val="lowerLetter"/>
      <w:start w:val="1"/>
      <w:suff w:val="tab"/>
      <w:pPr>
        <w:ind w:left="1440" w:hanging="360"/>
        <w:jc w:val="both"/>
      </w:pPr>
      <w:lvlText w:val="%2."/>
    </w:lvl>
    <w:lvl w:ilvl="2">
      <w:lvlJc w:val="right"/>
      <w:numFmt w:val="lowerRoman"/>
      <w:start w:val="1"/>
      <w:suff w:val="tab"/>
      <w:pPr>
        <w:ind w:left="2160" w:hanging="180"/>
        <w:jc w:val="both"/>
      </w:pPr>
      <w:lvlText w:val="%3."/>
    </w:lvl>
    <w:lvl w:ilvl="3">
      <w:lvlJc w:val="left"/>
      <w:numFmt w:val="decimal"/>
      <w:start w:val="1"/>
      <w:suff w:val="tab"/>
      <w:pPr>
        <w:ind w:left="2880" w:hanging="360"/>
        <w:jc w:val="both"/>
      </w:pPr>
      <w:lvlText w:val="%4."/>
    </w:lvl>
    <w:lvl w:ilvl="4">
      <w:lvlJc w:val="left"/>
      <w:numFmt w:val="lowerLetter"/>
      <w:start w:val="1"/>
      <w:suff w:val="tab"/>
      <w:pPr>
        <w:ind w:left="3600" w:hanging="360"/>
        <w:jc w:val="both"/>
      </w:pPr>
      <w:lvlText w:val="%5."/>
    </w:lvl>
    <w:lvl w:ilvl="5">
      <w:lvlJc w:val="right"/>
      <w:numFmt w:val="lowerRoman"/>
      <w:start w:val="1"/>
      <w:suff w:val="tab"/>
      <w:pPr>
        <w:ind w:left="4320" w:hanging="180"/>
        <w:jc w:val="both"/>
      </w:pPr>
      <w:lvlText w:val="%6."/>
    </w:lvl>
    <w:lvl w:ilvl="6">
      <w:lvlJc w:val="left"/>
      <w:numFmt w:val="decimal"/>
      <w:start w:val="1"/>
      <w:suff w:val="tab"/>
      <w:pPr>
        <w:ind w:left="5040" w:hanging="360"/>
        <w:jc w:val="both"/>
      </w:pPr>
      <w:lvlText w:val="%7."/>
    </w:lvl>
    <w:lvl w:ilvl="7">
      <w:lvlJc w:val="left"/>
      <w:numFmt w:val="lowerLetter"/>
      <w:start w:val="1"/>
      <w:suff w:val="tab"/>
      <w:pPr>
        <w:ind w:left="5760" w:hanging="360"/>
        <w:jc w:val="both"/>
      </w:pPr>
      <w:lvlText w:val="%8."/>
    </w:lvl>
    <w:lvl w:ilvl="8">
      <w:lvlJc w:val="right"/>
      <w:numFmt w:val="lowerRoman"/>
      <w:start w:val="1"/>
      <w:suff w:val="tab"/>
      <w:pPr>
        <w:ind w:left="6480" w:hanging="180"/>
        <w:jc w:val="both"/>
      </w:pPr>
      <w:lvlText w:val="%9."/>
    </w:lvl>
  </w:abstractNum>
  <w:abstractNum w:abstractNumId="1">
    <w:multiLevelType w:val="hybridMultilevel"/>
    <w:nsid w:val="2F000001"/>
    <w:tmpl w:val="41F611D9"/>
    <w:lvl w:ilvl="0">
      <w:lvlJc w:val="left"/>
      <w:numFmt w:val="decimal"/>
      <w:start w:val="1"/>
      <w:suff w:val="tab"/>
      <w:pPr>
        <w:ind w:left="1080" w:hanging="720"/>
        <w:jc w:val="both"/>
      </w:pPr>
      <w:rPr>
        <w:shd w:val="clear"/>
        <w:sz w:val="20"/>
        <w:szCs w:val="20"/>
        <w:w w:val="100"/>
      </w:rPr>
      <w:lvlText w:val="%1-"/>
    </w:lvl>
    <w:lvl w:ilvl="1">
      <w:lvlJc w:val="left"/>
      <w:numFmt w:val="lowerLetter"/>
      <w:start w:val="1"/>
      <w:suff w:val="tab"/>
      <w:pPr>
        <w:ind w:left="1440" w:hanging="360"/>
        <w:jc w:val="both"/>
      </w:pPr>
      <w:lvlText w:val="%2."/>
    </w:lvl>
    <w:lvl w:ilvl="2">
      <w:lvlJc w:val="right"/>
      <w:numFmt w:val="lowerRoman"/>
      <w:start w:val="1"/>
      <w:suff w:val="tab"/>
      <w:pPr>
        <w:ind w:left="2160" w:hanging="180"/>
        <w:jc w:val="both"/>
      </w:pPr>
      <w:lvlText w:val="%3."/>
    </w:lvl>
    <w:lvl w:ilvl="3">
      <w:lvlJc w:val="left"/>
      <w:numFmt w:val="decimal"/>
      <w:start w:val="1"/>
      <w:suff w:val="tab"/>
      <w:pPr>
        <w:ind w:left="2880" w:hanging="360"/>
        <w:jc w:val="both"/>
      </w:pPr>
      <w:lvlText w:val="%4."/>
    </w:lvl>
    <w:lvl w:ilvl="4">
      <w:lvlJc w:val="left"/>
      <w:numFmt w:val="lowerLetter"/>
      <w:start w:val="1"/>
      <w:suff w:val="tab"/>
      <w:pPr>
        <w:ind w:left="3600" w:hanging="360"/>
        <w:jc w:val="both"/>
      </w:pPr>
      <w:lvlText w:val="%5."/>
    </w:lvl>
    <w:lvl w:ilvl="5">
      <w:lvlJc w:val="right"/>
      <w:numFmt w:val="lowerRoman"/>
      <w:start w:val="1"/>
      <w:suff w:val="tab"/>
      <w:pPr>
        <w:ind w:left="4320" w:hanging="180"/>
        <w:jc w:val="both"/>
      </w:pPr>
      <w:lvlText w:val="%6."/>
    </w:lvl>
    <w:lvl w:ilvl="6">
      <w:lvlJc w:val="left"/>
      <w:numFmt w:val="decimal"/>
      <w:start w:val="1"/>
      <w:suff w:val="tab"/>
      <w:pPr>
        <w:ind w:left="5040" w:hanging="360"/>
        <w:jc w:val="both"/>
      </w:pPr>
      <w:lvlText w:val="%7."/>
    </w:lvl>
    <w:lvl w:ilvl="7">
      <w:lvlJc w:val="left"/>
      <w:numFmt w:val="lowerLetter"/>
      <w:start w:val="1"/>
      <w:suff w:val="tab"/>
      <w:pPr>
        <w:ind w:left="5760" w:hanging="360"/>
        <w:jc w:val="both"/>
      </w:pPr>
      <w:lvlText w:val="%8."/>
    </w:lvl>
    <w:lvl w:ilvl="8">
      <w:lvlJc w:val="right"/>
      <w:numFmt w:val="lowerRoman"/>
      <w:start w:val="1"/>
      <w:suff w:val="tab"/>
      <w:pPr>
        <w:ind w:left="6480" w:hanging="180"/>
        <w:jc w:val="both"/>
      </w:pPr>
      <w:lvlText w:val="%9."/>
    </w:lvl>
  </w:abstractNum>
  <w:abstractNum w:abstractNumId="2">
    <w:multiLevelType w:val="hybridMultilevel"/>
    <w:nsid w:val="2F000002"/>
    <w:tmpl w:val="4BFC9FD5"/>
    <w:lvl w:ilvl="0">
      <w:lvlJc w:val="left"/>
      <w:numFmt w:val="decimal"/>
      <w:start w:val="1"/>
      <w:suff w:val="tab"/>
      <w:pPr>
        <w:ind w:left="1080" w:hanging="720"/>
        <w:jc w:val="both"/>
      </w:pPr>
      <w:rPr>
        <w:shd w:val="clear"/>
        <w:sz w:val="20"/>
        <w:szCs w:val="20"/>
        <w:w w:val="100"/>
      </w:rPr>
      <w:lvlText w:val="%1-"/>
    </w:lvl>
    <w:lvl w:ilvl="1">
      <w:lvlJc w:val="left"/>
      <w:numFmt w:val="lowerLetter"/>
      <w:start w:val="1"/>
      <w:suff w:val="tab"/>
      <w:pPr>
        <w:ind w:left="1440" w:hanging="360"/>
        <w:jc w:val="both"/>
      </w:pPr>
      <w:lvlText w:val="%2."/>
    </w:lvl>
    <w:lvl w:ilvl="2">
      <w:lvlJc w:val="right"/>
      <w:numFmt w:val="lowerRoman"/>
      <w:start w:val="1"/>
      <w:suff w:val="tab"/>
      <w:pPr>
        <w:ind w:left="2160" w:hanging="180"/>
        <w:jc w:val="both"/>
      </w:pPr>
      <w:lvlText w:val="%3."/>
    </w:lvl>
    <w:lvl w:ilvl="3">
      <w:lvlJc w:val="left"/>
      <w:numFmt w:val="decimal"/>
      <w:start w:val="1"/>
      <w:suff w:val="tab"/>
      <w:pPr>
        <w:ind w:left="2880" w:hanging="360"/>
        <w:jc w:val="both"/>
      </w:pPr>
      <w:lvlText w:val="%4."/>
    </w:lvl>
    <w:lvl w:ilvl="4">
      <w:lvlJc w:val="left"/>
      <w:numFmt w:val="lowerLetter"/>
      <w:start w:val="1"/>
      <w:suff w:val="tab"/>
      <w:pPr>
        <w:ind w:left="3600" w:hanging="360"/>
        <w:jc w:val="both"/>
      </w:pPr>
      <w:lvlText w:val="%5."/>
    </w:lvl>
    <w:lvl w:ilvl="5">
      <w:lvlJc w:val="right"/>
      <w:numFmt w:val="lowerRoman"/>
      <w:start w:val="1"/>
      <w:suff w:val="tab"/>
      <w:pPr>
        <w:ind w:left="4320" w:hanging="180"/>
        <w:jc w:val="both"/>
      </w:pPr>
      <w:lvlText w:val="%6."/>
    </w:lvl>
    <w:lvl w:ilvl="6">
      <w:lvlJc w:val="left"/>
      <w:numFmt w:val="decimal"/>
      <w:start w:val="1"/>
      <w:suff w:val="tab"/>
      <w:pPr>
        <w:ind w:left="5040" w:hanging="360"/>
        <w:jc w:val="both"/>
      </w:pPr>
      <w:lvlText w:val="%7."/>
    </w:lvl>
    <w:lvl w:ilvl="7">
      <w:lvlJc w:val="left"/>
      <w:numFmt w:val="lowerLetter"/>
      <w:start w:val="1"/>
      <w:suff w:val="tab"/>
      <w:pPr>
        <w:ind w:left="5760" w:hanging="360"/>
        <w:jc w:val="both"/>
      </w:pPr>
      <w:lvlText w:val="%8."/>
    </w:lvl>
    <w:lvl w:ilvl="8">
      <w:lvlJc w:val="right"/>
      <w:numFmt w:val="lowerRoman"/>
      <w:start w:val="1"/>
      <w:suff w:val="tab"/>
      <w:pPr>
        <w:ind w:left="6480" w:hanging="180"/>
        <w:jc w:val="both"/>
      </w:pPr>
      <w:lvlText w:val="%9."/>
    </w:lvl>
  </w:abstractNum>
  <w:abstractNum w:abstractNumId="3">
    <w:multiLevelType w:val="hybridMultilevel"/>
    <w:nsid w:val="2F000003"/>
    <w:tmpl w:val="2C7404A0"/>
    <w:lvl w:ilvl="0">
      <w:lvlJc w:val="left"/>
      <w:numFmt w:val="bullet"/>
      <w:start w:val="2"/>
      <w:suff w:val="tab"/>
      <w:pPr>
        <w:ind w:left="1440" w:hanging="360"/>
        <w:jc w:val="both"/>
      </w:pPr>
      <w:rPr>
        <w:rFonts w:ascii="Traditional Arabic" w:eastAsia="Traditional Arabic" w:hAnsi="Traditional Arabic"/>
        <w:b/>
        <w:shd w:val="clear"/>
        <w:sz w:val="32"/>
        <w:szCs w:val="32"/>
        <w:w w:val="100"/>
      </w:rPr>
      <w:lvlText w:val="-"/>
    </w:lvl>
    <w:lvl w:ilvl="1">
      <w:lvlJc w:val="left"/>
      <w:numFmt w:val="bullet"/>
      <w:start w:val="1"/>
      <w:suff w:val="tab"/>
      <w:pPr>
        <w:ind w:left="21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8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60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432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04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76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48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20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4">
    <w:multiLevelType w:val="hybridMultilevel"/>
    <w:nsid w:val="2F000004"/>
    <w:tmpl w:val="2E46A233"/>
    <w:lvl w:ilvl="0">
      <w:lvlJc w:val="left"/>
      <w:numFmt w:val="decimal"/>
      <w:start w:val="1"/>
      <w:suff w:val="tab"/>
      <w:pPr>
        <w:ind w:left="1080" w:hanging="720"/>
        <w:jc w:val="both"/>
      </w:pPr>
      <w:rPr>
        <w:b/>
        <w:shd w:val="clear"/>
        <w:sz w:val="20"/>
        <w:szCs w:val="20"/>
        <w:u w:val="none"/>
        <w:w w:val="100"/>
      </w:rPr>
      <w:lvlText w:val="%1-"/>
    </w:lvl>
    <w:lvl w:ilvl="1">
      <w:lvlJc w:val="left"/>
      <w:numFmt w:val="lowerLetter"/>
      <w:start w:val="1"/>
      <w:suff w:val="tab"/>
      <w:pPr>
        <w:ind w:left="1440" w:hanging="360"/>
        <w:jc w:val="both"/>
      </w:pPr>
      <w:lvlText w:val="%2."/>
    </w:lvl>
    <w:lvl w:ilvl="2">
      <w:lvlJc w:val="right"/>
      <w:numFmt w:val="lowerRoman"/>
      <w:start w:val="1"/>
      <w:suff w:val="tab"/>
      <w:pPr>
        <w:ind w:left="2160" w:hanging="180"/>
        <w:jc w:val="both"/>
      </w:pPr>
      <w:lvlText w:val="%3."/>
    </w:lvl>
    <w:lvl w:ilvl="3">
      <w:lvlJc w:val="left"/>
      <w:numFmt w:val="decimal"/>
      <w:start w:val="1"/>
      <w:suff w:val="tab"/>
      <w:pPr>
        <w:ind w:left="2880" w:hanging="360"/>
        <w:jc w:val="both"/>
      </w:pPr>
      <w:lvlText w:val="%4."/>
    </w:lvl>
    <w:lvl w:ilvl="4">
      <w:lvlJc w:val="left"/>
      <w:numFmt w:val="lowerLetter"/>
      <w:start w:val="1"/>
      <w:suff w:val="tab"/>
      <w:pPr>
        <w:ind w:left="3600" w:hanging="360"/>
        <w:jc w:val="both"/>
      </w:pPr>
      <w:lvlText w:val="%5."/>
    </w:lvl>
    <w:lvl w:ilvl="5">
      <w:lvlJc w:val="right"/>
      <w:numFmt w:val="lowerRoman"/>
      <w:start w:val="1"/>
      <w:suff w:val="tab"/>
      <w:pPr>
        <w:ind w:left="4320" w:hanging="180"/>
        <w:jc w:val="both"/>
      </w:pPr>
      <w:lvlText w:val="%6."/>
    </w:lvl>
    <w:lvl w:ilvl="6">
      <w:lvlJc w:val="left"/>
      <w:numFmt w:val="decimal"/>
      <w:start w:val="1"/>
      <w:suff w:val="tab"/>
      <w:pPr>
        <w:ind w:left="5040" w:hanging="360"/>
        <w:jc w:val="both"/>
      </w:pPr>
      <w:lvlText w:val="%7."/>
    </w:lvl>
    <w:lvl w:ilvl="7">
      <w:lvlJc w:val="left"/>
      <w:numFmt w:val="lowerLetter"/>
      <w:start w:val="1"/>
      <w:suff w:val="tab"/>
      <w:pPr>
        <w:ind w:left="5760" w:hanging="360"/>
        <w:jc w:val="both"/>
      </w:pPr>
      <w:lvlText w:val="%8."/>
    </w:lvl>
    <w:lvl w:ilvl="8">
      <w:lvlJc w:val="right"/>
      <w:numFmt w:val="lowerRoman"/>
      <w:start w:val="1"/>
      <w:suff w:val="tab"/>
      <w:pPr>
        <w:ind w:left="6480" w:hanging="180"/>
        <w:jc w:val="both"/>
      </w:pPr>
      <w:lvlText w:val="%9."/>
    </w:lvl>
  </w:abstractNum>
  <w:abstractNum w:abstractNumId="5">
    <w:multiLevelType w:val="hybridMultilevel"/>
    <w:nsid w:val="2F000005"/>
    <w:tmpl w:val="59573FC8"/>
    <w:lvl w:ilvl="0">
      <w:lvlJc w:val="left"/>
      <w:numFmt w:val="bullet"/>
      <w:suff w:val="tab"/>
      <w:pPr>
        <w:ind w:left="720" w:hanging="360"/>
        <w:jc w:val="both"/>
      </w:pPr>
      <w:rPr>
        <w:rFonts w:ascii="Traditional Arabic" w:eastAsia="Traditional Arabic" w:hAnsi="Traditional Arabic"/>
        <w:shd w:val="clear"/>
        <w:sz w:val="20"/>
        <w:szCs w:val="20"/>
        <w:w w:val="100"/>
      </w:rPr>
      <w:lvlText w:val="-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6">
    <w:multiLevelType w:val="hybridMultilevel"/>
    <w:nsid w:val="2F000006"/>
    <w:tmpl w:val="2EBF7E38"/>
    <w:lvl w:ilvl="0">
      <w:lvlJc w:val="left"/>
      <w:numFmt w:val="bullet"/>
      <w:suff w:val="tab"/>
      <w:pPr>
        <w:ind w:left="720" w:hanging="360"/>
        <w:jc w:val="both"/>
      </w:pPr>
      <w:rPr>
        <w:rFonts w:ascii="Traditional Arabic" w:eastAsia="Traditional Arabic" w:hAnsi="Traditional Arabic"/>
        <w:b/>
        <w:shd w:val="clear"/>
        <w:sz w:val="20"/>
        <w:szCs w:val="20"/>
        <w:w w:val="100"/>
      </w:rPr>
      <w:lvlText w:val="-"/>
    </w:lvl>
    <w:lvl w:ilvl="1">
      <w:lvlJc w:val="left"/>
      <w:numFmt w:val="bullet"/>
      <w:start w:val="1"/>
      <w:suff w:val="tab"/>
      <w:pPr>
        <w:ind w:left="144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7">
    <w:multiLevelType w:val="hybridMultilevel"/>
    <w:nsid w:val="2F000007"/>
    <w:tmpl w:val="39B58348"/>
    <w:lvl w:ilvl="0">
      <w:lvlJc w:val="left"/>
      <w:numFmt w:val="bullet"/>
      <w:start w:val="1"/>
      <w:suff w:val="tab"/>
      <w:pPr>
        <w:ind w:left="1080" w:hanging="360"/>
        <w:jc w:val="both"/>
      </w:pPr>
      <w:rPr>
        <w:rtl/>
        <w:rFonts w:ascii="Arial" w:eastAsia="Arial" w:hAnsi="Arial"/>
        <w:b w:val="0"/>
        <w:shd w:val="clear"/>
        <w:sz w:val="20"/>
        <w:szCs w:val="20"/>
        <w:u w:val="none"/>
        <w:w w:val="100"/>
      </w:rPr>
      <w:lvlText w:val="-"/>
    </w:lvl>
    <w:lvl w:ilvl="1">
      <w:lvlJc w:val="left"/>
      <w:numFmt w:val="bullet"/>
      <w:start w:val="1"/>
      <w:suff w:val="tab"/>
      <w:pPr>
        <w:ind w:left="18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5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2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9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6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40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12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84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8">
    <w:multiLevelType w:val="hybridMultilevel"/>
    <w:nsid w:val="2F000008"/>
    <w:tmpl w:val="57350681"/>
    <w:lvl w:ilvl="0">
      <w:lvlJc w:val="left"/>
      <w:numFmt w:val="bullet"/>
      <w:start w:val="2"/>
      <w:suff w:val="tab"/>
      <w:pPr>
        <w:ind w:left="1440" w:hanging="360"/>
        <w:jc w:val="both"/>
      </w:pPr>
      <w:lvlText w:val="-"/>
    </w:lvl>
    <w:lvl w:ilvl="1">
      <w:lvlJc w:val="left"/>
      <w:numFmt w:val="bullet"/>
      <w:start w:val="1"/>
      <w:suff w:val="tab"/>
      <w:pPr>
        <w:ind w:left="21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8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60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432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04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76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48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20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9">
    <w:multiLevelType w:val="hybridMultilevel"/>
    <w:nsid w:val="2F000009"/>
    <w:tmpl w:val="5E6654CA"/>
    <w:lvl w:ilvl="0">
      <w:lvlJc w:val="left"/>
      <w:numFmt w:val="bullet"/>
      <w:start w:val="1"/>
      <w:suff w:val="tab"/>
      <w:pPr>
        <w:ind w:left="1080" w:hanging="360"/>
        <w:jc w:val="both"/>
      </w:pPr>
      <w:rPr>
        <w:rFonts w:ascii="Arial" w:eastAsia="Arial" w:hAnsi="Arial"/>
        <w:b w:val="0"/>
        <w:shd w:val="clear"/>
        <w:sz w:val="20"/>
        <w:szCs w:val="20"/>
        <w:u w:val="none"/>
        <w:w w:val="100"/>
      </w:rPr>
      <w:lvlText w:val="-"/>
    </w:lvl>
    <w:lvl w:ilvl="1">
      <w:lvlJc w:val="left"/>
      <w:numFmt w:val="bullet"/>
      <w:start w:val="1"/>
      <w:suff w:val="tab"/>
      <w:pPr>
        <w:ind w:left="18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5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2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9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6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40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12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84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0">
    <w:multiLevelType w:val="hybridMultilevel"/>
    <w:nsid w:val="2F00000A"/>
    <w:tmpl w:val="5AB43AC0"/>
    <w:lvl w:ilvl="0">
      <w:lvlJc w:val="left"/>
      <w:numFmt w:val="bullet"/>
      <w:start w:val="1"/>
      <w:suff w:val="tab"/>
      <w:pPr>
        <w:ind w:left="1080" w:hanging="360"/>
        <w:jc w:val="both"/>
      </w:pPr>
      <w:rPr>
        <w:rtl/>
        <w:rFonts w:ascii="Arial" w:eastAsia="Arial" w:hAnsi="Arial"/>
        <w:b w:val="0"/>
        <w:shd w:val="clear"/>
        <w:sz w:val="20"/>
        <w:szCs w:val="20"/>
        <w:u w:val="none"/>
        <w:w w:val="100"/>
      </w:rPr>
      <w:lvlText w:val="-"/>
    </w:lvl>
    <w:lvl w:ilvl="1">
      <w:lvlJc w:val="left"/>
      <w:numFmt w:val="bullet"/>
      <w:start w:val="1"/>
      <w:suff w:val="tab"/>
      <w:pPr>
        <w:ind w:left="180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52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24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96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68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400" w:hanging="360"/>
        <w:jc w:val="both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120" w:hanging="360"/>
        <w:jc w:val="both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840" w:hanging="360"/>
        <w:jc w:val="both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7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footnotePr>
    <w:footnote w:id="-1"/>
    <w:footnote w:id="0"/>
  </w:footnotePr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Calibri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bidi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autoSpaceDE w:val="1"/>
      <w:autoSpaceDN w:val="1"/>
      <w:bidi/>
      <w:widowControl/>
      <w:wordWrap/>
    </w:pPr>
  </w:style>
  <w:style w:styleId="PO7" w:type="paragraph">
    <w:name w:val="heading 1"/>
    <w:basedOn w:val="PO1"/>
    <w:link w:val="PO161"/>
    <w:qFormat/>
    <w:uiPriority w:val="7"/>
    <w:pPr>
      <w:autoSpaceDE w:val="1"/>
      <w:autoSpaceDN w:val="1"/>
      <w:jc w:val="center"/>
      <w:keepNext/>
      <w:widowControl/>
      <w:wordWrap/>
    </w:pPr>
    <w:rPr>
      <w:rFonts w:ascii="Times New Roman" w:eastAsia="Times New Roman" w:hAnsi="Times New Roman"/>
      <w:b/>
      <w:shd w:val="clear"/>
      <w:sz w:val="40"/>
      <w:szCs w:val="40"/>
      <w:w w:val="100"/>
    </w:rPr>
  </w:style>
  <w:style w:styleId="PO17" w:type="character">
    <w:name w:val="Subtle Emphasis"/>
    <w:basedOn w:val="PO2"/>
    <w:qFormat/>
    <w:uiPriority w:val="17"/>
    <w:rPr>
      <w:color w:val="808080" w:themeColor="text1" w:themeTint="7F"/>
      <w:i/>
      <w:shd w:val="clear"/>
      <w:sz w:val="20"/>
      <w:szCs w:val="20"/>
      <w:w w:val="100"/>
    </w:rPr>
  </w:style>
  <w:style w:styleId="PO20" w:type="character">
    <w:name w:val="Strong"/>
    <w:basedOn w:val="PO2"/>
    <w:qFormat/>
    <w:uiPriority w:val="20"/>
    <w:rPr>
      <w:b/>
      <w:shd w:val="clear"/>
      <w:sz w:val="20"/>
      <w:szCs w:val="20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left="720" w:firstLine="0"/>
      <w:widowControl/>
      <w:wordWrap/>
    </w:p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uiPriority w:val="38"/>
    <w:pPr>
      <w:autoSpaceDE w:val="1"/>
      <w:autoSpaceDN w:val="1"/>
      <w:widowControl/>
      <w:wordWrap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footnote text"/>
    <w:basedOn w:val="PO1"/>
    <w:link w:val="PO153"/>
    <w:uiPriority w:val="152"/>
    <w:semiHidden/>
    <w:unhideWhenUsed/>
    <w:pPr>
      <w:autoSpaceDE w:val="1"/>
      <w:autoSpaceDN w:val="1"/>
      <w:widowControl/>
      <w:wordWrap/>
    </w:pPr>
    <w:rPr>
      <w:shd w:val="clear"/>
      <w:sz w:val="20"/>
      <w:szCs w:val="20"/>
      <w:w w:val="100"/>
    </w:rPr>
  </w:style>
  <w:style w:customStyle="1" w:styleId="PO153" w:type="character">
    <w:name w:val="نص حاشية سفلية Char"/>
    <w:basedOn w:val="PO2"/>
    <w:link w:val="PO152"/>
    <w:uiPriority w:val="153"/>
    <w:semiHidden/>
    <w:rPr>
      <w:shd w:val="clear"/>
      <w:sz w:val="20"/>
      <w:szCs w:val="20"/>
      <w:w w:val="100"/>
    </w:rPr>
  </w:style>
  <w:style w:styleId="PO154" w:type="character">
    <w:name w:val="footnote reference"/>
    <w:basedOn w:val="PO2"/>
    <w:uiPriority w:val="154"/>
    <w:semiHidden/>
    <w:unhideWhenUsed/>
    <w:rPr>
      <w:shd w:val="clear"/>
      <w:sz w:val="20"/>
      <w:szCs w:val="20"/>
      <w:vertAlign w:val="superscript"/>
      <w:w w:val="100"/>
    </w:rPr>
  </w:style>
  <w:style w:styleId="PO155" w:type="character">
    <w:name w:val="Hyperlink"/>
    <w:basedOn w:val="PO2"/>
    <w:uiPriority w:val="155"/>
    <w:unhideWhenUsed/>
    <w:rPr>
      <w:color w:val="0000FF"/>
      <w:shd w:val="clear"/>
      <w:sz w:val="20"/>
      <w:szCs w:val="20"/>
      <w:u w:val="single"/>
      <w:w w:val="100"/>
    </w:rPr>
  </w:style>
  <w:style w:customStyle="1" w:styleId="PO156" w:type="character">
    <w:name w:val="apple-style-span"/>
    <w:basedOn w:val="PO2"/>
    <w:uiPriority w:val="156"/>
  </w:style>
  <w:style w:styleId="PO157" w:type="paragraph">
    <w:name w:val="header"/>
    <w:basedOn w:val="PO1"/>
    <w:link w:val="PO158"/>
    <w:uiPriority w:val="157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</w:style>
  <w:style w:customStyle="1" w:styleId="PO158" w:type="character">
    <w:name w:val="رأس صفحة Char"/>
    <w:basedOn w:val="PO2"/>
    <w:link w:val="PO157"/>
    <w:uiPriority w:val="158"/>
  </w:style>
  <w:style w:styleId="PO159" w:type="paragraph">
    <w:name w:val="footer"/>
    <w:basedOn w:val="PO1"/>
    <w:link w:val="PO160"/>
    <w:uiPriority w:val="159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</w:style>
  <w:style w:customStyle="1" w:styleId="PO160" w:type="character">
    <w:name w:val="تذييل صفحة Char"/>
    <w:basedOn w:val="PO2"/>
    <w:link w:val="PO159"/>
    <w:uiPriority w:val="160"/>
  </w:style>
  <w:style w:customStyle="1" w:styleId="PO161" w:type="character">
    <w:name w:val="عنوان 1 Char"/>
    <w:basedOn w:val="PO2"/>
    <w:link w:val="PO7"/>
    <w:uiPriority w:val="161"/>
    <w:rPr>
      <w:rFonts w:ascii="Times New Roman" w:eastAsia="Times New Roman" w:hAnsi="Times New Roman"/>
      <w:b/>
      <w:shd w:val="clear"/>
      <w:sz w:val="40"/>
      <w:szCs w:val="4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customXml" Target="../customXml/item1.xml"></Relationship><Relationship Id="rId6" Type="http://schemas.openxmlformats.org/officeDocument/2006/relationships/footer" Target="footer2.xml"></Relationship><Relationship Id="rId7" Type="http://schemas.openxmlformats.org/officeDocument/2006/relationships/hyperlink" Target="http://search.proquest.com" TargetMode="External"></Relationship><Relationship Id="rId8" Type="http://schemas.openxmlformats.org/officeDocument/2006/relationships/numbering" Target="numbering.xml"></Relationship><Relationship Id="rId9" Type="http://schemas.openxmlformats.org/officeDocument/2006/relationships/theme" Target="theme/theme1.xml"></Relationship><Relationship Id="rId10" Type="http://schemas.openxmlformats.org/officeDocument/2006/relationships/footnotes" Target="footnotes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A0A61-7472-40B2-B59F-F26ED50A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212</Lines>
  <LinksUpToDate>false</LinksUpToDate>
  <Pages>25</Pages>
  <Paragraphs>59</Paragraphs>
  <Words>4464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sony</dc:creator>
  <cp:lastModifiedBy>Polaris Office</cp:lastModifiedBy>
  <dcterms:modified xsi:type="dcterms:W3CDTF">2015-05-22T20:58:00Z</dcterms:modified>
</cp:coreProperties>
</file>